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C868C" w14:textId="77777777" w:rsidR="00C87381" w:rsidRPr="005557B8" w:rsidRDefault="00386385">
      <w:pPr>
        <w:jc w:val="center"/>
        <w:rPr>
          <w:b/>
          <w:sz w:val="28"/>
          <w:szCs w:val="28"/>
          <w:lang w:val="fr-CH"/>
        </w:rPr>
      </w:pPr>
      <w:r w:rsidRPr="005557B8">
        <w:rPr>
          <w:b/>
          <w:sz w:val="28"/>
          <w:szCs w:val="28"/>
          <w:lang w:val="fr-CH"/>
        </w:rPr>
        <w:t>INTERNATIONAL ORGANISATION FOR STANDARDISATION</w:t>
      </w:r>
    </w:p>
    <w:p w14:paraId="4A026CF8" w14:textId="77777777" w:rsidR="00C87381" w:rsidRPr="005557B8" w:rsidRDefault="00386385">
      <w:pPr>
        <w:jc w:val="center"/>
        <w:rPr>
          <w:b/>
          <w:sz w:val="28"/>
          <w:lang w:val="fr-CH"/>
        </w:rPr>
      </w:pPr>
      <w:r w:rsidRPr="005557B8">
        <w:rPr>
          <w:b/>
          <w:sz w:val="28"/>
          <w:lang w:val="fr-CH"/>
        </w:rPr>
        <w:t>ORGANISATION INTERNATIONALE DE NORMALISATION</w:t>
      </w:r>
    </w:p>
    <w:p w14:paraId="5A1B4434" w14:textId="77777777" w:rsidR="00C87381" w:rsidRDefault="00386385">
      <w:pPr>
        <w:jc w:val="center"/>
        <w:rPr>
          <w:b/>
          <w:sz w:val="28"/>
        </w:rPr>
      </w:pPr>
      <w:r>
        <w:rPr>
          <w:b/>
          <w:sz w:val="28"/>
        </w:rPr>
        <w:t>ISO/IEC JTC1/SC29/WG11</w:t>
      </w:r>
    </w:p>
    <w:p w14:paraId="63145E1F" w14:textId="77777777" w:rsidR="00C87381" w:rsidRDefault="00386385">
      <w:pPr>
        <w:jc w:val="center"/>
        <w:rPr>
          <w:b/>
        </w:rPr>
      </w:pPr>
      <w:r>
        <w:rPr>
          <w:b/>
          <w:sz w:val="28"/>
        </w:rPr>
        <w:t>CODING OF MOVING PICTURES AND AUDIO</w:t>
      </w:r>
    </w:p>
    <w:p w14:paraId="1F6BC64C" w14:textId="77777777" w:rsidR="00C87381" w:rsidRDefault="00C87381">
      <w:pPr>
        <w:tabs>
          <w:tab w:val="left" w:pos="5387"/>
        </w:tabs>
        <w:spacing w:line="240" w:lineRule="exact"/>
        <w:jc w:val="center"/>
        <w:rPr>
          <w:b/>
        </w:rPr>
      </w:pPr>
    </w:p>
    <w:p w14:paraId="04A30ED4" w14:textId="26EF1396" w:rsidR="00C87381" w:rsidRPr="00161E24" w:rsidRDefault="00386385">
      <w:pPr>
        <w:jc w:val="right"/>
        <w:rPr>
          <w:b/>
        </w:rPr>
      </w:pPr>
      <w:r w:rsidRPr="00161E24">
        <w:rPr>
          <w:b/>
        </w:rPr>
        <w:t xml:space="preserve">ISO/IEC JTC1/SC29/WG11 </w:t>
      </w:r>
      <w:r w:rsidR="0089265E" w:rsidRPr="00161E24">
        <w:rPr>
          <w:b/>
          <w:color w:val="FF0000"/>
        </w:rPr>
        <w:t>N</w:t>
      </w:r>
      <w:r w:rsidR="00704A2D" w:rsidRPr="00161E24">
        <w:rPr>
          <w:b/>
          <w:color w:val="FF0000"/>
        </w:rPr>
        <w:t>17</w:t>
      </w:r>
      <w:r w:rsidR="00E25DF3">
        <w:rPr>
          <w:b/>
          <w:color w:val="FF0000"/>
        </w:rPr>
        <w:t>468</w:t>
      </w:r>
    </w:p>
    <w:p w14:paraId="7E7C9DD9" w14:textId="4E9DF227" w:rsidR="00C87381" w:rsidRDefault="00E1303C">
      <w:pPr>
        <w:wordWrap w:val="0"/>
        <w:jc w:val="right"/>
        <w:rPr>
          <w:b/>
          <w:lang w:eastAsia="ja-JP"/>
        </w:rPr>
      </w:pPr>
      <w:r>
        <w:rPr>
          <w:b/>
          <w:lang w:eastAsia="ja-JP"/>
        </w:rPr>
        <w:t>January</w:t>
      </w:r>
      <w:r w:rsidR="00386385">
        <w:rPr>
          <w:rFonts w:eastAsia="Malgun Gothic"/>
          <w:b/>
        </w:rPr>
        <w:t xml:space="preserve"> 201</w:t>
      </w:r>
      <w:r>
        <w:rPr>
          <w:b/>
          <w:lang w:eastAsia="ja-JP"/>
        </w:rPr>
        <w:t>8</w:t>
      </w:r>
      <w:r w:rsidR="00386385">
        <w:rPr>
          <w:rFonts w:eastAsia="Malgun Gothic"/>
          <w:b/>
        </w:rPr>
        <w:t xml:space="preserve">, </w:t>
      </w:r>
      <w:r>
        <w:rPr>
          <w:rFonts w:eastAsia="Malgun Gothic"/>
          <w:b/>
        </w:rPr>
        <w:t>Gwangju</w:t>
      </w:r>
      <w:r w:rsidR="001512F2">
        <w:rPr>
          <w:rFonts w:eastAsia="Malgun Gothic"/>
          <w:b/>
        </w:rPr>
        <w:t xml:space="preserve">, </w:t>
      </w:r>
      <w:r>
        <w:rPr>
          <w:rFonts w:eastAsia="Malgun Gothic"/>
          <w:b/>
        </w:rPr>
        <w:t>KR</w:t>
      </w:r>
    </w:p>
    <w:p w14:paraId="0DC08EF0" w14:textId="77777777" w:rsidR="00C87381" w:rsidRDefault="00C87381">
      <w:pPr>
        <w:jc w:val="right"/>
        <w:rPr>
          <w:b/>
          <w:lang w:eastAsia="ja-JP"/>
        </w:rPr>
      </w:pPr>
    </w:p>
    <w:p w14:paraId="2F383F77" w14:textId="77777777" w:rsidR="00C87381" w:rsidRDefault="00C87381">
      <w:pPr>
        <w:spacing w:line="240" w:lineRule="exact"/>
        <w:rPr>
          <w:lang w:val="fr-FR"/>
        </w:rPr>
      </w:pPr>
    </w:p>
    <w:tbl>
      <w:tblPr>
        <w:tblW w:w="0" w:type="auto"/>
        <w:tblLook w:val="01E0" w:firstRow="1" w:lastRow="1" w:firstColumn="1" w:lastColumn="1" w:noHBand="0" w:noVBand="0"/>
      </w:tblPr>
      <w:tblGrid>
        <w:gridCol w:w="1076"/>
        <w:gridCol w:w="8279"/>
      </w:tblGrid>
      <w:tr w:rsidR="00C87381" w:rsidRPr="00950780" w14:paraId="44244BAD" w14:textId="77777777" w:rsidTr="00161E24">
        <w:tc>
          <w:tcPr>
            <w:tcW w:w="1076" w:type="dxa"/>
          </w:tcPr>
          <w:p w14:paraId="1BE78D80" w14:textId="77777777" w:rsidR="00C87381" w:rsidRDefault="00386385">
            <w:pPr>
              <w:suppressAutoHyphens/>
              <w:rPr>
                <w:b/>
              </w:rPr>
            </w:pPr>
            <w:r>
              <w:rPr>
                <w:b/>
              </w:rPr>
              <w:t>Source</w:t>
            </w:r>
          </w:p>
        </w:tc>
        <w:tc>
          <w:tcPr>
            <w:tcW w:w="8279" w:type="dxa"/>
          </w:tcPr>
          <w:p w14:paraId="1D2C361A" w14:textId="64E0A7C8" w:rsidR="00C87381" w:rsidRPr="005557B8" w:rsidRDefault="00A274A5">
            <w:pPr>
              <w:suppressAutoHyphens/>
              <w:rPr>
                <w:b/>
                <w:lang w:val="it-IT"/>
              </w:rPr>
            </w:pPr>
            <w:r w:rsidRPr="005557B8">
              <w:rPr>
                <w:b/>
                <w:lang w:val="it-IT"/>
              </w:rPr>
              <w:t>ISO/IEC JTC1/SC29/WG11</w:t>
            </w:r>
          </w:p>
        </w:tc>
      </w:tr>
      <w:tr w:rsidR="00C87381" w14:paraId="5BE17660" w14:textId="77777777" w:rsidTr="00161E24">
        <w:tc>
          <w:tcPr>
            <w:tcW w:w="1076" w:type="dxa"/>
          </w:tcPr>
          <w:p w14:paraId="3F780995" w14:textId="77777777" w:rsidR="00C87381" w:rsidRDefault="00386385">
            <w:pPr>
              <w:suppressAutoHyphens/>
              <w:rPr>
                <w:b/>
              </w:rPr>
            </w:pPr>
            <w:r>
              <w:rPr>
                <w:b/>
              </w:rPr>
              <w:t>Status</w:t>
            </w:r>
          </w:p>
        </w:tc>
        <w:tc>
          <w:tcPr>
            <w:tcW w:w="8279" w:type="dxa"/>
          </w:tcPr>
          <w:p w14:paraId="7B147BE2" w14:textId="540EFBA7" w:rsidR="00C87381" w:rsidRDefault="00A274A5">
            <w:pPr>
              <w:suppressAutoHyphens/>
              <w:rPr>
                <w:b/>
              </w:rPr>
            </w:pPr>
            <w:r>
              <w:rPr>
                <w:b/>
              </w:rPr>
              <w:t>Draft</w:t>
            </w:r>
          </w:p>
        </w:tc>
      </w:tr>
      <w:tr w:rsidR="00C87381" w14:paraId="745279F7" w14:textId="77777777" w:rsidTr="00161E24">
        <w:tc>
          <w:tcPr>
            <w:tcW w:w="1076" w:type="dxa"/>
          </w:tcPr>
          <w:p w14:paraId="738722A7" w14:textId="77777777" w:rsidR="00C87381" w:rsidRDefault="00386385">
            <w:pPr>
              <w:suppressAutoHyphens/>
              <w:rPr>
                <w:b/>
              </w:rPr>
            </w:pPr>
            <w:r>
              <w:rPr>
                <w:b/>
              </w:rPr>
              <w:t>Title</w:t>
            </w:r>
          </w:p>
        </w:tc>
        <w:tc>
          <w:tcPr>
            <w:tcW w:w="8279" w:type="dxa"/>
          </w:tcPr>
          <w:p w14:paraId="22496272" w14:textId="06A8A009" w:rsidR="00C87381" w:rsidRDefault="002A7E60" w:rsidP="009677BB">
            <w:pPr>
              <w:suppressAutoHyphens/>
              <w:rPr>
                <w:b/>
              </w:rPr>
            </w:pPr>
            <w:r>
              <w:rPr>
                <w:b/>
              </w:rPr>
              <w:t>W</w:t>
            </w:r>
            <w:r w:rsidR="006178D1">
              <w:rPr>
                <w:b/>
              </w:rPr>
              <w:t xml:space="preserve">hite paper on the objectives and </w:t>
            </w:r>
            <w:r w:rsidR="009677BB">
              <w:rPr>
                <w:b/>
              </w:rPr>
              <w:t xml:space="preserve">benefits </w:t>
            </w:r>
            <w:r w:rsidR="006178D1">
              <w:rPr>
                <w:b/>
              </w:rPr>
              <w:t>of the MPEG-G standard</w:t>
            </w:r>
          </w:p>
        </w:tc>
      </w:tr>
    </w:tbl>
    <w:p w14:paraId="1B1DEEAC" w14:textId="51B3A3E0" w:rsidR="004A4663" w:rsidRDefault="004A4663"/>
    <w:p w14:paraId="6659EC5D" w14:textId="28092D58" w:rsidR="004A4663" w:rsidRDefault="00525473" w:rsidP="004A4663">
      <w:pPr>
        <w:pStyle w:val="Heading1"/>
      </w:pPr>
      <w:r>
        <w:t>MPEG-G: leveraging the use</w:t>
      </w:r>
      <w:r w:rsidR="00E56FF6">
        <w:t xml:space="preserve"> of</w:t>
      </w:r>
      <w:r w:rsidR="00DF017A">
        <w:t xml:space="preserve"> </w:t>
      </w:r>
      <w:r w:rsidR="00E56FF6">
        <w:t>ge</w:t>
      </w:r>
      <w:r w:rsidR="00DF017A">
        <w:t xml:space="preserve">nomic </w:t>
      </w:r>
      <w:r w:rsidR="00E56FF6">
        <w:t>i</w:t>
      </w:r>
      <w:r w:rsidR="00DF017A">
        <w:t>nformatio</w:t>
      </w:r>
      <w:r w:rsidR="00E56FF6">
        <w:t>n</w:t>
      </w:r>
    </w:p>
    <w:p w14:paraId="2B2D9FBB" w14:textId="58D8A42E" w:rsidR="0094069D" w:rsidRDefault="001915C9" w:rsidP="007702AB">
      <w:r w:rsidRPr="00187F57">
        <w:t xml:space="preserve">The development </w:t>
      </w:r>
      <w:r w:rsidR="005557B8">
        <w:t xml:space="preserve">and rapid progress </w:t>
      </w:r>
      <w:r w:rsidRPr="00187F57">
        <w:t xml:space="preserve">of </w:t>
      </w:r>
      <w:r w:rsidR="00E073C2">
        <w:t>high-throughput</w:t>
      </w:r>
      <w:r w:rsidRPr="00187F57">
        <w:t xml:space="preserve"> sequencing (</w:t>
      </w:r>
      <w:r w:rsidR="00E073C2">
        <w:t>HTS</w:t>
      </w:r>
      <w:r w:rsidRPr="00187F57">
        <w:t xml:space="preserve">) technologies </w:t>
      </w:r>
      <w:r w:rsidR="00351F4A">
        <w:t xml:space="preserve">has </w:t>
      </w:r>
      <w:r w:rsidR="00AC7F7D">
        <w:t xml:space="preserve">the potential of </w:t>
      </w:r>
      <w:r w:rsidRPr="00187F57">
        <w:t>enabl</w:t>
      </w:r>
      <w:r w:rsidR="00AC7F7D">
        <w:t>ing</w:t>
      </w:r>
      <w:r w:rsidRPr="00187F57">
        <w:t xml:space="preserve"> the us</w:t>
      </w:r>
      <w:r w:rsidR="00351F4A">
        <w:t>e</w:t>
      </w:r>
      <w:r w:rsidRPr="00187F57">
        <w:t xml:space="preserve"> of genomic information as </w:t>
      </w:r>
      <w:r w:rsidR="00351F4A">
        <w:t xml:space="preserve">an </w:t>
      </w:r>
      <w:r w:rsidRPr="00187F57">
        <w:t>everyday practice in several fields.</w:t>
      </w:r>
      <w:r w:rsidR="006C1990">
        <w:t xml:space="preserve"> </w:t>
      </w:r>
      <w:r w:rsidR="00AC7F7D">
        <w:t>W</w:t>
      </w:r>
      <w:r w:rsidRPr="001915C9">
        <w:t xml:space="preserve">ith the release of the latest </w:t>
      </w:r>
      <w:r w:rsidR="00E073C2">
        <w:t>HTS</w:t>
      </w:r>
      <w:r w:rsidR="00E073C2" w:rsidRPr="001915C9">
        <w:t xml:space="preserve"> </w:t>
      </w:r>
      <w:r w:rsidRPr="001915C9">
        <w:t xml:space="preserve">machines the cost of </w:t>
      </w:r>
      <w:r w:rsidR="00AC7F7D">
        <w:t>a</w:t>
      </w:r>
      <w:r w:rsidRPr="001915C9">
        <w:t xml:space="preserve"> </w:t>
      </w:r>
      <w:r w:rsidR="00657389">
        <w:t>w</w:t>
      </w:r>
      <w:r w:rsidRPr="001915C9">
        <w:t xml:space="preserve">hole </w:t>
      </w:r>
      <w:r w:rsidR="00657389">
        <w:t>g</w:t>
      </w:r>
      <w:r w:rsidRPr="001915C9">
        <w:t xml:space="preserve">enome </w:t>
      </w:r>
      <w:r w:rsidR="00657389">
        <w:t>s</w:t>
      </w:r>
      <w:r w:rsidRPr="001915C9">
        <w:t>equencing</w:t>
      </w:r>
      <w:r w:rsidR="007702AB">
        <w:t xml:space="preserve"> </w:t>
      </w:r>
      <w:r w:rsidR="004262AC">
        <w:t xml:space="preserve">for a human genome </w:t>
      </w:r>
      <w:r w:rsidR="007702AB">
        <w:t>has dropped to merely US</w:t>
      </w:r>
      <w:r w:rsidR="00951395">
        <w:t> </w:t>
      </w:r>
      <w:r w:rsidRPr="001915C9">
        <w:t>$1,000</w:t>
      </w:r>
      <w:r w:rsidR="00657389">
        <w:t>.</w:t>
      </w:r>
      <w:r w:rsidR="005C384E">
        <w:t xml:space="preserve"> </w:t>
      </w:r>
      <w:r w:rsidR="000152A1">
        <w:t xml:space="preserve">It is expected that within the next </w:t>
      </w:r>
      <w:r w:rsidR="006B3393">
        <w:t>few</w:t>
      </w:r>
      <w:r w:rsidR="00941C21">
        <w:t xml:space="preserve"> years</w:t>
      </w:r>
      <w:r w:rsidR="000152A1">
        <w:t xml:space="preserve"> </w:t>
      </w:r>
      <w:r w:rsidR="00AC7F7D">
        <w:t>such</w:t>
      </w:r>
      <w:r w:rsidR="005479D4">
        <w:t xml:space="preserve"> cost c</w:t>
      </w:r>
      <w:r w:rsidR="00AC7F7D">
        <w:t>ould</w:t>
      </w:r>
      <w:r w:rsidR="005479D4">
        <w:t xml:space="preserve"> drop to about US</w:t>
      </w:r>
      <w:r w:rsidR="00951395">
        <w:t> </w:t>
      </w:r>
      <w:r w:rsidR="005479D4">
        <w:t>$100</w:t>
      </w:r>
      <w:r w:rsidRPr="001915C9">
        <w:t>.</w:t>
      </w:r>
      <w:r w:rsidR="007702AB">
        <w:t xml:space="preserve"> </w:t>
      </w:r>
      <w:r w:rsidR="005479D4">
        <w:t>Such achievements</w:t>
      </w:r>
      <w:r w:rsidRPr="001915C9">
        <w:t xml:space="preserve"> in </w:t>
      </w:r>
      <w:r w:rsidR="005479D4">
        <w:t xml:space="preserve">the reduction of </w:t>
      </w:r>
      <w:r w:rsidRPr="001915C9">
        <w:t>sequencing cost</w:t>
      </w:r>
      <w:r w:rsidR="00E951B1">
        <w:t>s</w:t>
      </w:r>
      <w:r w:rsidRPr="001915C9">
        <w:t xml:space="preserve"> opened the doors to personalized medicine, </w:t>
      </w:r>
      <w:r w:rsidR="00657389">
        <w:t>where</w:t>
      </w:r>
      <w:r w:rsidRPr="001915C9">
        <w:t xml:space="preserve"> the </w:t>
      </w:r>
      <w:r w:rsidR="00457196">
        <w:t>genomic information</w:t>
      </w:r>
      <w:r w:rsidRPr="001915C9">
        <w:t xml:space="preserve"> </w:t>
      </w:r>
      <w:r w:rsidR="004A4C65">
        <w:t xml:space="preserve">of </w:t>
      </w:r>
      <w:r w:rsidRPr="001915C9">
        <w:t>patient</w:t>
      </w:r>
      <w:r w:rsidR="005479D4">
        <w:t>s</w:t>
      </w:r>
      <w:r w:rsidRPr="001915C9">
        <w:t xml:space="preserve"> </w:t>
      </w:r>
      <w:r w:rsidR="005479D4">
        <w:t>can</w:t>
      </w:r>
      <w:r w:rsidRPr="001915C9">
        <w:t xml:space="preserve"> be sequenced and analyzed as </w:t>
      </w:r>
      <w:r w:rsidR="005479D4">
        <w:t>frequently as done today for standard blood tests</w:t>
      </w:r>
      <w:r w:rsidRPr="001915C9">
        <w:t>.</w:t>
      </w:r>
      <w:r w:rsidR="005557B8">
        <w:t xml:space="preserve"> </w:t>
      </w:r>
      <w:r w:rsidR="005557B8" w:rsidRPr="00187F57">
        <w:t xml:space="preserve">However, the </w:t>
      </w:r>
      <w:r w:rsidR="00457196">
        <w:t>ever-</w:t>
      </w:r>
      <w:r w:rsidR="005557B8" w:rsidRPr="00187F57">
        <w:t xml:space="preserve">growing volume of </w:t>
      </w:r>
      <w:r w:rsidR="00457196">
        <w:t xml:space="preserve">sequencing </w:t>
      </w:r>
      <w:r w:rsidR="005557B8" w:rsidRPr="00187F57">
        <w:t xml:space="preserve">data </w:t>
      </w:r>
      <w:r w:rsidR="005479D4">
        <w:t>is already a serious obstacle to the wider diffusion of sequencing in public health</w:t>
      </w:r>
      <w:r w:rsidR="00A15E51">
        <w:t>.</w:t>
      </w:r>
      <w:r w:rsidR="005479D4">
        <w:t xml:space="preserve"> </w:t>
      </w:r>
      <w:r w:rsidR="00A15E51">
        <w:t>T</w:t>
      </w:r>
      <w:r w:rsidR="005479D4">
        <w:t>he associated IT costs</w:t>
      </w:r>
      <w:r w:rsidR="00AC7F7D">
        <w:t>,</w:t>
      </w:r>
      <w:r w:rsidR="005479D4">
        <w:t xml:space="preserve"> related to storing</w:t>
      </w:r>
      <w:r w:rsidR="004262AC">
        <w:t xml:space="preserve">, </w:t>
      </w:r>
      <w:r w:rsidR="00A60B9E">
        <w:t>transmitting</w:t>
      </w:r>
      <w:r w:rsidR="005479D4">
        <w:t xml:space="preserve"> and processing the </w:t>
      </w:r>
      <w:r w:rsidR="00AC7F7D">
        <w:t xml:space="preserve">large volumes of </w:t>
      </w:r>
      <w:r w:rsidR="005479D4">
        <w:t>data</w:t>
      </w:r>
      <w:r w:rsidR="00AC7F7D">
        <w:t>,</w:t>
      </w:r>
      <w:r w:rsidR="005479D4">
        <w:t xml:space="preserve"> </w:t>
      </w:r>
      <w:r w:rsidR="004262AC">
        <w:t xml:space="preserve">will soon </w:t>
      </w:r>
      <w:r w:rsidR="005479D4">
        <w:t xml:space="preserve">largely exceed the </w:t>
      </w:r>
      <w:r w:rsidR="004262AC">
        <w:t xml:space="preserve">costs of </w:t>
      </w:r>
      <w:r w:rsidR="005479D4">
        <w:t>sequencing.</w:t>
      </w:r>
      <w:r w:rsidR="007F1E6C">
        <w:t xml:space="preserve"> </w:t>
      </w:r>
      <w:r w:rsidRPr="001915C9">
        <w:t>The lack of appropriate representation</w:t>
      </w:r>
      <w:r w:rsidR="005479D4">
        <w:t>s</w:t>
      </w:r>
      <w:r w:rsidRPr="001915C9">
        <w:t xml:space="preserve"> and efficient compression </w:t>
      </w:r>
      <w:r w:rsidR="005479D4">
        <w:t>technologies</w:t>
      </w:r>
      <w:r w:rsidR="008303C9" w:rsidRPr="001915C9">
        <w:t xml:space="preserve"> </w:t>
      </w:r>
      <w:r w:rsidRPr="001915C9">
        <w:t xml:space="preserve">is widely recognized as a critical element limiting </w:t>
      </w:r>
      <w:r w:rsidR="00E073C2">
        <w:t>the</w:t>
      </w:r>
      <w:r w:rsidR="00E073C2" w:rsidRPr="001915C9">
        <w:t xml:space="preserve"> </w:t>
      </w:r>
      <w:r w:rsidR="005479D4">
        <w:t>potential of genomic data usage for scientific and public health purposes</w:t>
      </w:r>
      <w:r w:rsidR="00951395">
        <w:t> </w:t>
      </w:r>
      <w:r w:rsidR="007702AB">
        <w:fldChar w:fldCharType="begin" w:fldLock="1"/>
      </w:r>
      <w:r w:rsidR="00451C76">
        <w:instrText>ADDIN CSL_CITATION { "citationItems" : [ { "id" : "ITEM-1", "itemData" : { "DOI" : "10.1126/science.1197891", "ISSN" : "0036-8075", "author" : [ { "dropping-particle" : "", "family" : "Kahn", "given" : "Scott D", "non-dropping-particle" : "", "parse-names" : false, "suffix" : "" } ], "container-title" : "Science", "id" : "ITEM-1", "issue" : "6018", "issued" : { "date-parts" : [ [ "2011", "2", "11" ] ] }, "page" : "728-729", "title" : "On the Future of Genomic Data", "type" : "article-journal", "volume" : "331" }, "uris" : [ "http://www.mendeley.com/documents/?uuid=5393b054-b87c-4e77-a456-70015c777bd9" ] } ], "mendeley" : { "formattedCitation" : "[1]", "plainTextFormattedCitation" : "[1]", "previouslyFormattedCitation" : "[1]" }, "properties" : {  }, "schema" : "https://github.com/citation-style-language/schema/raw/master/csl-citation.json" }</w:instrText>
      </w:r>
      <w:r w:rsidR="007702AB">
        <w:fldChar w:fldCharType="separate"/>
      </w:r>
      <w:r w:rsidR="00451C76" w:rsidRPr="00451C76">
        <w:rPr>
          <w:noProof/>
        </w:rPr>
        <w:t>[1]</w:t>
      </w:r>
      <w:r w:rsidR="007702AB">
        <w:fldChar w:fldCharType="end"/>
      </w:r>
      <w:r w:rsidRPr="001915C9">
        <w:t>.</w:t>
      </w:r>
    </w:p>
    <w:p w14:paraId="60F9C118" w14:textId="77777777" w:rsidR="00657389" w:rsidRDefault="00657389" w:rsidP="007702AB"/>
    <w:p w14:paraId="3C03B9EE" w14:textId="37A80C36" w:rsidR="00510A55" w:rsidRPr="000105F3" w:rsidRDefault="0094069D" w:rsidP="00510A55">
      <w:pPr>
        <w:rPr>
          <w:lang w:eastAsia="zh-CN"/>
        </w:rPr>
      </w:pPr>
      <w:r>
        <w:t>The MPEG-G standard</w:t>
      </w:r>
      <w:r w:rsidR="00A32398">
        <w:t>, planned to be released in October 2018,</w:t>
      </w:r>
      <w:r w:rsidR="005479D4">
        <w:t xml:space="preserve"> is </w:t>
      </w:r>
      <w:r w:rsidR="00EB3C95">
        <w:t xml:space="preserve">currently </w:t>
      </w:r>
      <w:r w:rsidR="005479D4">
        <w:t xml:space="preserve">the largest coordinated </w:t>
      </w:r>
      <w:r w:rsidR="00A32398">
        <w:t xml:space="preserve">and international </w:t>
      </w:r>
      <w:r w:rsidR="005479D4">
        <w:t xml:space="preserve">effort addressing </w:t>
      </w:r>
      <w:r>
        <w:t>the problem</w:t>
      </w:r>
      <w:r w:rsidR="005479D4">
        <w:t>s</w:t>
      </w:r>
      <w:r>
        <w:t xml:space="preserve"> </w:t>
      </w:r>
      <w:r w:rsidR="00EB3C95">
        <w:t xml:space="preserve">and limitations </w:t>
      </w:r>
      <w:r>
        <w:t xml:space="preserve">of </w:t>
      </w:r>
      <w:r w:rsidR="00EB3C95">
        <w:t xml:space="preserve">current </w:t>
      </w:r>
      <w:r w:rsidR="00583A51">
        <w:t xml:space="preserve">technologies and products </w:t>
      </w:r>
      <w:r w:rsidR="00EB3C95">
        <w:t xml:space="preserve">towards a truly </w:t>
      </w:r>
      <w:r>
        <w:t xml:space="preserve">efficient and economical handling of genomic </w:t>
      </w:r>
      <w:r w:rsidR="00652D9B">
        <w:t>information</w:t>
      </w:r>
      <w:r w:rsidR="00A32398">
        <w:t>. MPEG-G</w:t>
      </w:r>
      <w:r>
        <w:t xml:space="preserve"> </w:t>
      </w:r>
      <w:r w:rsidR="00A32398">
        <w:t>utilizes</w:t>
      </w:r>
      <w:r>
        <w:t xml:space="preserve"> </w:t>
      </w:r>
      <w:r w:rsidR="00A32398">
        <w:t xml:space="preserve">the latest technology to </w:t>
      </w:r>
      <w:r>
        <w:t xml:space="preserve">compress and transport </w:t>
      </w:r>
      <w:r w:rsidR="00A32398">
        <w:t>sequencing data</w:t>
      </w:r>
      <w:r w:rsidR="008F12FF">
        <w:rPr>
          <w:lang w:eastAsia="zh-CN"/>
        </w:rPr>
        <w:t xml:space="preserve"> </w:t>
      </w:r>
      <w:r w:rsidR="00510A55" w:rsidRPr="000105F3">
        <w:rPr>
          <w:lang w:eastAsia="zh-CN"/>
        </w:rPr>
        <w:t xml:space="preserve">for complex use cases that </w:t>
      </w:r>
      <w:r w:rsidR="00510A55" w:rsidRPr="000105F3">
        <w:rPr>
          <w:color w:val="000000"/>
        </w:rPr>
        <w:t xml:space="preserve">are currently not supported by existing formats. </w:t>
      </w:r>
      <w:r w:rsidR="000105F3">
        <w:rPr>
          <w:color w:val="000000"/>
        </w:rPr>
        <w:t>Notable</w:t>
      </w:r>
      <w:r w:rsidR="000105F3" w:rsidRPr="000105F3">
        <w:rPr>
          <w:color w:val="000000"/>
        </w:rPr>
        <w:t xml:space="preserve"> </w:t>
      </w:r>
      <w:r w:rsidR="00510A55" w:rsidRPr="000105F3">
        <w:rPr>
          <w:color w:val="000000"/>
        </w:rPr>
        <w:t>use cases addressed by MPEG-G include:</w:t>
      </w:r>
    </w:p>
    <w:p w14:paraId="7600A4FE" w14:textId="04F2BBE1" w:rsidR="00510A55" w:rsidRPr="000105F3" w:rsidRDefault="00510A55" w:rsidP="00510A55">
      <w:pPr>
        <w:pStyle w:val="ListParagraph"/>
        <w:numPr>
          <w:ilvl w:val="0"/>
          <w:numId w:val="13"/>
        </w:numPr>
        <w:rPr>
          <w:lang w:eastAsia="zh-CN"/>
        </w:rPr>
      </w:pPr>
      <w:r w:rsidRPr="000105F3">
        <w:rPr>
          <w:lang w:eastAsia="zh-CN"/>
        </w:rPr>
        <w:t>Selective access to compressed data</w:t>
      </w:r>
    </w:p>
    <w:p w14:paraId="11C693B2" w14:textId="09958432" w:rsidR="00510A55" w:rsidRPr="000105F3" w:rsidRDefault="00510A55" w:rsidP="00510A55">
      <w:pPr>
        <w:pStyle w:val="ListParagraph"/>
        <w:numPr>
          <w:ilvl w:val="0"/>
          <w:numId w:val="13"/>
        </w:numPr>
        <w:rPr>
          <w:lang w:eastAsia="zh-CN"/>
        </w:rPr>
      </w:pPr>
      <w:r w:rsidRPr="000105F3">
        <w:rPr>
          <w:lang w:eastAsia="zh-CN"/>
        </w:rPr>
        <w:t>Data streaming</w:t>
      </w:r>
    </w:p>
    <w:p w14:paraId="0A1CCB0A" w14:textId="19DEF42B" w:rsidR="00510A55" w:rsidRPr="000105F3" w:rsidRDefault="00510A55" w:rsidP="00510A55">
      <w:pPr>
        <w:pStyle w:val="ListParagraph"/>
        <w:numPr>
          <w:ilvl w:val="0"/>
          <w:numId w:val="13"/>
        </w:numPr>
        <w:rPr>
          <w:lang w:eastAsia="zh-CN"/>
        </w:rPr>
      </w:pPr>
      <w:r w:rsidRPr="000105F3">
        <w:rPr>
          <w:lang w:eastAsia="zh-CN"/>
        </w:rPr>
        <w:t>Compressed file concatenation</w:t>
      </w:r>
    </w:p>
    <w:p w14:paraId="0DA5FB07" w14:textId="3C345101" w:rsidR="00510A55" w:rsidRPr="000105F3" w:rsidRDefault="00510A55" w:rsidP="00510A55">
      <w:pPr>
        <w:pStyle w:val="ListParagraph"/>
        <w:numPr>
          <w:ilvl w:val="0"/>
          <w:numId w:val="13"/>
        </w:numPr>
        <w:rPr>
          <w:lang w:eastAsia="zh-CN"/>
        </w:rPr>
      </w:pPr>
      <w:r w:rsidRPr="000105F3">
        <w:rPr>
          <w:lang w:eastAsia="zh-CN"/>
        </w:rPr>
        <w:t>Genomic studies aggregation</w:t>
      </w:r>
    </w:p>
    <w:p w14:paraId="339BFE74" w14:textId="4FD6127B" w:rsidR="00510A55" w:rsidRDefault="00510A55" w:rsidP="00510A55">
      <w:pPr>
        <w:pStyle w:val="ListParagraph"/>
        <w:numPr>
          <w:ilvl w:val="0"/>
          <w:numId w:val="13"/>
        </w:numPr>
        <w:rPr>
          <w:lang w:eastAsia="zh-CN"/>
        </w:rPr>
      </w:pPr>
      <w:r w:rsidRPr="000105F3">
        <w:rPr>
          <w:lang w:eastAsia="zh-CN"/>
        </w:rPr>
        <w:t>Enforcement of privacy rules</w:t>
      </w:r>
    </w:p>
    <w:p w14:paraId="628FD930" w14:textId="0E16811E" w:rsidR="008A2C12" w:rsidRPr="000105F3" w:rsidRDefault="00A7545B" w:rsidP="00510A55">
      <w:pPr>
        <w:pStyle w:val="ListParagraph"/>
        <w:numPr>
          <w:ilvl w:val="0"/>
          <w:numId w:val="13"/>
        </w:numPr>
        <w:rPr>
          <w:lang w:eastAsia="zh-CN"/>
        </w:rPr>
      </w:pPr>
      <w:r>
        <w:rPr>
          <w:lang w:eastAsia="zh-CN"/>
        </w:rPr>
        <w:t>Selective e</w:t>
      </w:r>
      <w:r w:rsidR="008A2C12">
        <w:rPr>
          <w:lang w:eastAsia="zh-CN"/>
        </w:rPr>
        <w:t>ncryption</w:t>
      </w:r>
      <w:r w:rsidR="003854F2">
        <w:rPr>
          <w:lang w:eastAsia="zh-CN"/>
        </w:rPr>
        <w:t xml:space="preserve"> of sequencing data and metadata</w:t>
      </w:r>
    </w:p>
    <w:p w14:paraId="027D89DA" w14:textId="5B50DE5E" w:rsidR="00510A55" w:rsidRDefault="00510A55" w:rsidP="00510A55">
      <w:pPr>
        <w:pStyle w:val="ListParagraph"/>
        <w:numPr>
          <w:ilvl w:val="0"/>
          <w:numId w:val="13"/>
        </w:numPr>
        <w:rPr>
          <w:lang w:eastAsia="zh-CN"/>
        </w:rPr>
      </w:pPr>
      <w:r w:rsidRPr="000105F3">
        <w:rPr>
          <w:lang w:eastAsia="zh-CN"/>
        </w:rPr>
        <w:t>Annotation and linkage of genomic segments</w:t>
      </w:r>
    </w:p>
    <w:p w14:paraId="486F91B7" w14:textId="1242B022" w:rsidR="00751D2C" w:rsidRDefault="00751D2C" w:rsidP="00510A55">
      <w:pPr>
        <w:pStyle w:val="ListParagraph"/>
        <w:numPr>
          <w:ilvl w:val="0"/>
          <w:numId w:val="13"/>
        </w:numPr>
        <w:rPr>
          <w:lang w:eastAsia="zh-CN"/>
        </w:rPr>
      </w:pPr>
      <w:r w:rsidRPr="008A2C12">
        <w:rPr>
          <w:lang w:eastAsia="zh-CN"/>
        </w:rPr>
        <w:t xml:space="preserve">Interoperability with </w:t>
      </w:r>
      <w:r w:rsidR="000E4768">
        <w:rPr>
          <w:lang w:eastAsia="zh-CN"/>
        </w:rPr>
        <w:t xml:space="preserve">main </w:t>
      </w:r>
      <w:r w:rsidRPr="008A2C12">
        <w:rPr>
          <w:lang w:eastAsia="zh-CN"/>
        </w:rPr>
        <w:t>existing technologies</w:t>
      </w:r>
      <w:r w:rsidR="00941C21">
        <w:rPr>
          <w:lang w:eastAsia="zh-CN"/>
        </w:rPr>
        <w:t xml:space="preserve"> and legacy formats</w:t>
      </w:r>
    </w:p>
    <w:p w14:paraId="0FEC20D0" w14:textId="70B396B7" w:rsidR="003854F2" w:rsidRPr="003854F2" w:rsidRDefault="003854F2" w:rsidP="00510A55">
      <w:pPr>
        <w:pStyle w:val="ListParagraph"/>
        <w:numPr>
          <w:ilvl w:val="0"/>
          <w:numId w:val="13"/>
        </w:numPr>
        <w:rPr>
          <w:lang w:eastAsia="zh-CN"/>
        </w:rPr>
      </w:pPr>
      <w:r w:rsidRPr="003854F2">
        <w:rPr>
          <w:lang w:eastAsia="zh-CN"/>
        </w:rPr>
        <w:t>Incremental update of sequencing data and metadata</w:t>
      </w:r>
    </w:p>
    <w:p w14:paraId="2F6EFB16" w14:textId="77777777" w:rsidR="00544082" w:rsidRDefault="00544082" w:rsidP="007702AB">
      <w:pPr>
        <w:pStyle w:val="NoSpacing"/>
      </w:pPr>
    </w:p>
    <w:p w14:paraId="542D27D7" w14:textId="732361E1" w:rsidR="001915C9" w:rsidRDefault="00EF057B" w:rsidP="007702AB">
      <w:pPr>
        <w:pStyle w:val="NoSpacing"/>
      </w:pPr>
      <w:r>
        <w:t xml:space="preserve">This </w:t>
      </w:r>
      <w:r w:rsidR="005479D4">
        <w:t xml:space="preserve">white </w:t>
      </w:r>
      <w:r w:rsidR="009677BB">
        <w:t xml:space="preserve">paper </w:t>
      </w:r>
      <w:r w:rsidR="005479D4">
        <w:t xml:space="preserve">summarizes the </w:t>
      </w:r>
      <w:r>
        <w:t xml:space="preserve">objectives </w:t>
      </w:r>
      <w:r w:rsidR="005479D4">
        <w:t xml:space="preserve">and </w:t>
      </w:r>
      <w:r>
        <w:t xml:space="preserve">the </w:t>
      </w:r>
      <w:r w:rsidR="009677BB">
        <w:t xml:space="preserve">benefits </w:t>
      </w:r>
      <w:r>
        <w:t>of the upcoming MPEG-G standard</w:t>
      </w:r>
      <w:r w:rsidR="005479D4">
        <w:t xml:space="preserve"> by providing</w:t>
      </w:r>
      <w:r w:rsidR="009677BB">
        <w:t>:</w:t>
      </w:r>
    </w:p>
    <w:p w14:paraId="28E35E94" w14:textId="7D3596EF" w:rsidR="005479D4" w:rsidRPr="00FD3B4B" w:rsidRDefault="005479D4" w:rsidP="005479D4">
      <w:pPr>
        <w:pStyle w:val="NoSpacing"/>
        <w:numPr>
          <w:ilvl w:val="0"/>
          <w:numId w:val="3"/>
        </w:numPr>
      </w:pPr>
      <w:r w:rsidRPr="00FD3B4B">
        <w:t>a brief description of the requirements and the methodology used to develop the vario</w:t>
      </w:r>
      <w:r w:rsidR="007C58F0" w:rsidRPr="00FD3B4B">
        <w:t>us parts of the MPEG-G standard,</w:t>
      </w:r>
    </w:p>
    <w:p w14:paraId="0BEC38A0" w14:textId="7446A782" w:rsidR="005C384E" w:rsidRPr="00FD3B4B" w:rsidRDefault="00FD3B4B" w:rsidP="005479D4">
      <w:pPr>
        <w:pStyle w:val="NoSpacing"/>
        <w:numPr>
          <w:ilvl w:val="0"/>
          <w:numId w:val="3"/>
        </w:numPr>
      </w:pPr>
      <w:r>
        <w:t xml:space="preserve">an exemplary overview of </w:t>
      </w:r>
      <w:r w:rsidR="005C384E" w:rsidRPr="00FD3B4B">
        <w:t xml:space="preserve">the current MPEG-G </w:t>
      </w:r>
      <w:r>
        <w:t>compression performance</w:t>
      </w:r>
      <w:r w:rsidR="005C384E" w:rsidRPr="00FD3B4B">
        <w:t>,</w:t>
      </w:r>
    </w:p>
    <w:p w14:paraId="2FE233F9" w14:textId="721767A5" w:rsidR="00FD3B4B" w:rsidRDefault="004A4C65" w:rsidP="005C384E">
      <w:pPr>
        <w:pStyle w:val="NoSpacing"/>
        <w:numPr>
          <w:ilvl w:val="0"/>
          <w:numId w:val="3"/>
        </w:numPr>
      </w:pPr>
      <w:r w:rsidRPr="00FD3B4B">
        <w:t>a</w:t>
      </w:r>
      <w:r w:rsidR="005479D4" w:rsidRPr="00FD3B4B">
        <w:t xml:space="preserve">n introduction </w:t>
      </w:r>
      <w:r w:rsidR="00583A51" w:rsidRPr="00FD3B4B">
        <w:t xml:space="preserve">to </w:t>
      </w:r>
      <w:r w:rsidR="005479D4" w:rsidRPr="00FD3B4B">
        <w:t xml:space="preserve">the main </w:t>
      </w:r>
      <w:r w:rsidR="00FD3B4B">
        <w:t xml:space="preserve">technical </w:t>
      </w:r>
      <w:r w:rsidR="005479D4" w:rsidRPr="00FD3B4B">
        <w:t>fe</w:t>
      </w:r>
      <w:r w:rsidR="005C384E" w:rsidRPr="00FD3B4B">
        <w:t>atures</w:t>
      </w:r>
      <w:r w:rsidR="00FD3B4B">
        <w:t xml:space="preserve"> of</w:t>
      </w:r>
      <w:r w:rsidR="005C384E" w:rsidRPr="00FD3B4B">
        <w:t xml:space="preserve"> MPEG-G</w:t>
      </w:r>
      <w:r w:rsidR="00FD3B4B">
        <w:t>,</w:t>
      </w:r>
    </w:p>
    <w:p w14:paraId="30BC8871" w14:textId="7F1F8306" w:rsidR="00EF057B" w:rsidRPr="00FD3B4B" w:rsidRDefault="00FD3B4B" w:rsidP="005C384E">
      <w:pPr>
        <w:pStyle w:val="NoSpacing"/>
        <w:numPr>
          <w:ilvl w:val="0"/>
          <w:numId w:val="3"/>
        </w:numPr>
      </w:pPr>
      <w:r>
        <w:lastRenderedPageBreak/>
        <w:t>a summary of possible applications and usage scenarios of the MPEG-G standard</w:t>
      </w:r>
      <w:r w:rsidR="005C384E" w:rsidRPr="00FD3B4B">
        <w:t>.</w:t>
      </w:r>
    </w:p>
    <w:p w14:paraId="4B4AE194" w14:textId="429AFFF8" w:rsidR="00EF057B" w:rsidRDefault="00C77A01" w:rsidP="00EF057B">
      <w:pPr>
        <w:pStyle w:val="Heading1"/>
      </w:pPr>
      <w:r>
        <w:t>Development of the MPEG-G standard</w:t>
      </w:r>
    </w:p>
    <w:p w14:paraId="3B2AF5CF" w14:textId="7CB9A7B7" w:rsidR="00C8344E" w:rsidRDefault="00AF56A9" w:rsidP="00C8344E">
      <w:pPr>
        <w:pStyle w:val="NoSpacing"/>
        <w:rPr>
          <w:color w:val="000000"/>
        </w:rPr>
      </w:pPr>
      <w:r>
        <w:rPr>
          <w:color w:val="000000"/>
        </w:rPr>
        <w:t xml:space="preserve">In its </w:t>
      </w:r>
      <w:r w:rsidR="008D4B07">
        <w:rPr>
          <w:color w:val="000000"/>
        </w:rPr>
        <w:t xml:space="preserve">30 </w:t>
      </w:r>
      <w:r>
        <w:rPr>
          <w:color w:val="000000"/>
        </w:rPr>
        <w:t xml:space="preserve">years of activity </w:t>
      </w:r>
      <w:r w:rsidRPr="001915C9">
        <w:rPr>
          <w:color w:val="000000"/>
        </w:rPr>
        <w:t>ISO/IEC</w:t>
      </w:r>
      <w:r>
        <w:rPr>
          <w:color w:val="000000"/>
        </w:rPr>
        <w:t xml:space="preserve"> </w:t>
      </w:r>
      <w:r w:rsidRPr="001915C9">
        <w:rPr>
          <w:color w:val="000000"/>
        </w:rPr>
        <w:t>JTC</w:t>
      </w:r>
      <w:r w:rsidR="00951395">
        <w:rPr>
          <w:color w:val="000000"/>
        </w:rPr>
        <w:t> </w:t>
      </w:r>
      <w:r>
        <w:rPr>
          <w:color w:val="000000"/>
        </w:rPr>
        <w:t>1/SC</w:t>
      </w:r>
      <w:r w:rsidR="00951395">
        <w:rPr>
          <w:color w:val="000000"/>
        </w:rPr>
        <w:t> </w:t>
      </w:r>
      <w:r w:rsidRPr="001915C9">
        <w:rPr>
          <w:color w:val="000000"/>
        </w:rPr>
        <w:t>29/WG</w:t>
      </w:r>
      <w:r w:rsidR="00951395">
        <w:rPr>
          <w:color w:val="000000"/>
        </w:rPr>
        <w:t> </w:t>
      </w:r>
      <w:r>
        <w:rPr>
          <w:color w:val="000000"/>
        </w:rPr>
        <w:t xml:space="preserve">11 – </w:t>
      </w:r>
      <w:r w:rsidRPr="001915C9">
        <w:rPr>
          <w:color w:val="000000"/>
        </w:rPr>
        <w:t>also known as Moving Picture Experts Group (MPEG</w:t>
      </w:r>
      <w:r>
        <w:rPr>
          <w:color w:val="000000"/>
        </w:rPr>
        <w:t xml:space="preserve">) – </w:t>
      </w:r>
      <w:r w:rsidRPr="001915C9">
        <w:rPr>
          <w:color w:val="000000"/>
        </w:rPr>
        <w:t xml:space="preserve">has developed many generations of </w:t>
      </w:r>
      <w:r>
        <w:rPr>
          <w:color w:val="000000"/>
        </w:rPr>
        <w:t xml:space="preserve">successful </w:t>
      </w:r>
      <w:r w:rsidRPr="001915C9">
        <w:rPr>
          <w:color w:val="000000"/>
        </w:rPr>
        <w:t>standards</w:t>
      </w:r>
      <w:r w:rsidR="00C8344E">
        <w:rPr>
          <w:color w:val="000000"/>
        </w:rPr>
        <w:t xml:space="preserve"> that have transformed the world of media from analog to digital. Video</w:t>
      </w:r>
      <w:r w:rsidR="00A7545B">
        <w:rPr>
          <w:color w:val="000000"/>
        </w:rPr>
        <w:t xml:space="preserve">, </w:t>
      </w:r>
      <w:r w:rsidR="00C8344E">
        <w:rPr>
          <w:color w:val="000000"/>
        </w:rPr>
        <w:t xml:space="preserve">audio compression and transport </w:t>
      </w:r>
      <w:r w:rsidR="008E067C">
        <w:rPr>
          <w:color w:val="000000"/>
        </w:rPr>
        <w:t>technologies, as well as application</w:t>
      </w:r>
      <w:r w:rsidR="00C8344E">
        <w:rPr>
          <w:color w:val="000000"/>
        </w:rPr>
        <w:t xml:space="preserve"> formats and APIs</w:t>
      </w:r>
      <w:r w:rsidR="00742222">
        <w:rPr>
          <w:color w:val="000000"/>
        </w:rPr>
        <w:t>,</w:t>
      </w:r>
      <w:r w:rsidR="00C8344E">
        <w:rPr>
          <w:color w:val="000000"/>
        </w:rPr>
        <w:t xml:space="preserve"> have provided the standard support enabling the interoperability and the integration we all witness in the digital media field.</w:t>
      </w:r>
    </w:p>
    <w:p w14:paraId="55796D88" w14:textId="4A7409EE" w:rsidR="00AF56A9" w:rsidRPr="005423C5" w:rsidRDefault="00AF56A9" w:rsidP="00C8344E">
      <w:pPr>
        <w:pStyle w:val="NoSpacing"/>
      </w:pPr>
      <w:r w:rsidRPr="005423C5">
        <w:rPr>
          <w:color w:val="000000"/>
        </w:rPr>
        <w:t>ISO</w:t>
      </w:r>
      <w:r w:rsidR="007F1E6C">
        <w:rPr>
          <w:color w:val="000000"/>
        </w:rPr>
        <w:t xml:space="preserve"> </w:t>
      </w:r>
      <w:r w:rsidRPr="005423C5">
        <w:rPr>
          <w:color w:val="000000"/>
        </w:rPr>
        <w:t>TC</w:t>
      </w:r>
      <w:r w:rsidR="00951395">
        <w:rPr>
          <w:color w:val="000000"/>
        </w:rPr>
        <w:t> </w:t>
      </w:r>
      <w:r w:rsidRPr="005423C5">
        <w:rPr>
          <w:color w:val="000000"/>
        </w:rPr>
        <w:t xml:space="preserve">276 </w:t>
      </w:r>
      <w:r w:rsidR="00C8344E">
        <w:rPr>
          <w:color w:val="000000"/>
        </w:rPr>
        <w:t xml:space="preserve">has recently been established to </w:t>
      </w:r>
      <w:r w:rsidRPr="005423C5">
        <w:rPr>
          <w:color w:val="000000"/>
        </w:rPr>
        <w:t>work on</w:t>
      </w:r>
      <w:r w:rsidR="00C8344E">
        <w:rPr>
          <w:color w:val="000000"/>
        </w:rPr>
        <w:t xml:space="preserve"> the</w:t>
      </w:r>
      <w:r w:rsidRPr="005423C5">
        <w:rPr>
          <w:color w:val="000000"/>
        </w:rPr>
        <w:t xml:space="preserve"> standardization of biotechnology processes </w:t>
      </w:r>
      <w:r w:rsidR="00C8344E">
        <w:rPr>
          <w:color w:val="000000"/>
        </w:rPr>
        <w:t>including</w:t>
      </w:r>
      <w:r w:rsidRPr="005423C5">
        <w:rPr>
          <w:color w:val="000000"/>
        </w:rPr>
        <w:t xml:space="preserve"> analytical methods (Working Group</w:t>
      </w:r>
      <w:r w:rsidR="00951395">
        <w:rPr>
          <w:color w:val="000000"/>
        </w:rPr>
        <w:t> </w:t>
      </w:r>
      <w:r w:rsidRPr="005423C5">
        <w:rPr>
          <w:color w:val="000000"/>
        </w:rPr>
        <w:t>3) and data processing and integration (Working Group</w:t>
      </w:r>
      <w:r w:rsidR="00951395">
        <w:rPr>
          <w:color w:val="000000"/>
        </w:rPr>
        <w:t> </w:t>
      </w:r>
      <w:r w:rsidRPr="005423C5">
        <w:rPr>
          <w:color w:val="000000"/>
        </w:rPr>
        <w:t>5).</w:t>
      </w:r>
    </w:p>
    <w:p w14:paraId="312403DA" w14:textId="60ADCA1F" w:rsidR="00742222" w:rsidRDefault="00AF56A9" w:rsidP="00AF56A9">
      <w:pPr>
        <w:rPr>
          <w:rFonts w:eastAsia="Times New Roman"/>
          <w:color w:val="000000"/>
        </w:rPr>
      </w:pPr>
      <w:r w:rsidRPr="00672825">
        <w:rPr>
          <w:color w:val="000000"/>
        </w:rPr>
        <w:t>MPEG</w:t>
      </w:r>
      <w:r w:rsidR="008D4B07">
        <w:rPr>
          <w:color w:val="000000"/>
        </w:rPr>
        <w:t>, as developer of generic standard technologies is working with</w:t>
      </w:r>
      <w:r w:rsidRPr="00672825">
        <w:rPr>
          <w:color w:val="000000"/>
        </w:rPr>
        <w:t xml:space="preserve"> ISO</w:t>
      </w:r>
      <w:r w:rsidR="007F1E6C">
        <w:rPr>
          <w:color w:val="000000"/>
        </w:rPr>
        <w:t xml:space="preserve"> </w:t>
      </w:r>
      <w:r w:rsidRPr="00672825">
        <w:rPr>
          <w:color w:val="000000"/>
        </w:rPr>
        <w:t>TC</w:t>
      </w:r>
      <w:r w:rsidR="00951395">
        <w:rPr>
          <w:color w:val="000000"/>
        </w:rPr>
        <w:t> </w:t>
      </w:r>
      <w:r w:rsidRPr="00672825">
        <w:rPr>
          <w:color w:val="000000"/>
        </w:rPr>
        <w:t>276/WG</w:t>
      </w:r>
      <w:r w:rsidR="00951395">
        <w:rPr>
          <w:color w:val="000000"/>
        </w:rPr>
        <w:t> </w:t>
      </w:r>
      <w:r w:rsidRPr="00672825">
        <w:rPr>
          <w:color w:val="000000"/>
        </w:rPr>
        <w:t>5</w:t>
      </w:r>
      <w:r w:rsidR="008D4B07">
        <w:rPr>
          <w:color w:val="000000"/>
        </w:rPr>
        <w:t>,</w:t>
      </w:r>
      <w:r w:rsidR="007F1E6C">
        <w:rPr>
          <w:color w:val="000000"/>
        </w:rPr>
        <w:t xml:space="preserve"> </w:t>
      </w:r>
      <w:r w:rsidR="008D4B07">
        <w:rPr>
          <w:color w:val="000000"/>
        </w:rPr>
        <w:t xml:space="preserve">integrators of biological data workflows, to produce </w:t>
      </w:r>
      <w:r w:rsidRPr="00672825">
        <w:rPr>
          <w:color w:val="000000"/>
        </w:rPr>
        <w:t xml:space="preserve">a new open standard </w:t>
      </w:r>
      <w:r w:rsidR="008D4B07">
        <w:rPr>
          <w:color w:val="000000"/>
        </w:rPr>
        <w:t>to compress, store, transmit and process sequencing data</w:t>
      </w:r>
      <w:r w:rsidR="00C8344E">
        <w:rPr>
          <w:color w:val="000000"/>
        </w:rPr>
        <w:t>:</w:t>
      </w:r>
      <w:r w:rsidRPr="00672825">
        <w:rPr>
          <w:color w:val="000000"/>
        </w:rPr>
        <w:t xml:space="preserve"> MPEG-G.</w:t>
      </w:r>
      <w:r>
        <w:rPr>
          <w:color w:val="000000"/>
        </w:rPr>
        <w:t xml:space="preserve"> </w:t>
      </w:r>
      <w:r w:rsidR="00C8344E">
        <w:rPr>
          <w:color w:val="000000"/>
        </w:rPr>
        <w:t xml:space="preserve">The </w:t>
      </w:r>
      <w:r w:rsidRPr="001915C9">
        <w:rPr>
          <w:color w:val="000000"/>
        </w:rPr>
        <w:t>standard will offer high levels of compression</w:t>
      </w:r>
      <w:r w:rsidR="00AB2817">
        <w:rPr>
          <w:color w:val="000000"/>
        </w:rPr>
        <w:t xml:space="preserve">, </w:t>
      </w:r>
      <w:r w:rsidR="004302E3">
        <w:rPr>
          <w:color w:val="000000"/>
        </w:rPr>
        <w:t>approximately 100 times</w:t>
      </w:r>
      <w:r w:rsidR="00AB2817">
        <w:rPr>
          <w:color w:val="000000"/>
        </w:rPr>
        <w:t xml:space="preserve"> </w:t>
      </w:r>
      <w:r w:rsidR="004302E3">
        <w:rPr>
          <w:color w:val="000000"/>
        </w:rPr>
        <w:t xml:space="preserve">compared to raw data, i.e. </w:t>
      </w:r>
      <w:r w:rsidR="00AB2817">
        <w:rPr>
          <w:color w:val="000000"/>
        </w:rPr>
        <w:t>more</w:t>
      </w:r>
      <w:r w:rsidR="004302E3">
        <w:rPr>
          <w:color w:val="000000"/>
        </w:rPr>
        <w:t xml:space="preserve"> than one order of magnitude</w:t>
      </w:r>
      <w:r w:rsidRPr="001915C9">
        <w:rPr>
          <w:color w:val="000000"/>
        </w:rPr>
        <w:t xml:space="preserve"> </w:t>
      </w:r>
      <w:r w:rsidR="00C8344E">
        <w:rPr>
          <w:color w:val="000000"/>
        </w:rPr>
        <w:t>than</w:t>
      </w:r>
      <w:r w:rsidR="004302E3">
        <w:rPr>
          <w:color w:val="000000"/>
        </w:rPr>
        <w:t xml:space="preserve"> possible with</w:t>
      </w:r>
      <w:r w:rsidR="00C8344E">
        <w:rPr>
          <w:color w:val="000000"/>
        </w:rPr>
        <w:t xml:space="preserve"> currently used formats</w:t>
      </w:r>
      <w:r w:rsidR="00951395">
        <w:rPr>
          <w:color w:val="000000"/>
        </w:rPr>
        <w:t> </w:t>
      </w:r>
      <w:r>
        <w:rPr>
          <w:color w:val="000000"/>
        </w:rPr>
        <w:fldChar w:fldCharType="begin" w:fldLock="1"/>
      </w:r>
      <w:r w:rsidR="00451C76">
        <w:rPr>
          <w:color w:val="000000"/>
        </w:rPr>
        <w:instrText>ADDIN CSL_CITATION { "citationItems" : [ { "id" : "ITEM-1", "itemData" : { "DOI" : "10.1038/nmeth.4037", "ISSN" : "1548-7091", "abstract" : "High-throughput sequencing (HTS) data are commonly stored as raw sequencing reads in FASTQ format or as reads mapped to a reference, in SAM format, both with large memory footprints. Worldwide growth of HTS data has prompted the development of compression methods that aim to significantly reduce HTS data size. Here we report on a benchmarking study of available compression methods on a comprehensive set of HTS data using an automated framework.", "author" : [ { "dropping-particle" : "", "family" : "Numanagi\u0107", "given" : "Ibrahim", "non-dropping-particle" : "", "parse-names" : false, "suffix" : "" }, { "dropping-particle" : "", "family" : "Bonfield", "given" : "James K", "non-dropping-particle" : "", "parse-names" : false, "suffix" : "" }, { "dropping-particle" : "", "family" : "Hach", "given" : "Faraz", "non-dropping-particle" : "", "parse-names" : false, "suffix" : "" }, { "dropping-particle" : "", "family" : "Voges", "given" : "Jan", "non-dropping-particle" : "", "parse-names" : false, "suffix" : "" }, { "dropping-particle" : "", "family" : "Ostermann", "given" : "J\u00f6rn", "non-dropping-particle" : "", "parse-names" : false, "suffix" : "" }, { "dropping-particle" : "", "family" : "Alberti", "given" : "Claudio", "non-dropping-particle" : "", "parse-names" : false, "suffix" : "" }, { "dropping-particle" : "", "family" : "Mattavelli", "given" : "Marco", "non-dropping-particle" : "", "parse-names" : false, "suffix" : "" }, { "dropping-particle" : "", "family" : "Sahinalp", "given" : "S Cenk", "non-dropping-particle" : "", "parse-names" : false, "suffix" : "" } ], "container-title" : "Nature Methods", "id" : "ITEM-1", "issue" : "12", "issued" : { "date-parts" : [ [ "2016", "12", "24" ] ] }, "page" : "1005-1008", "title" : "Comparison of high-throughput sequencing data compression tools", "type" : "article-journal", "volume" : "13" }, "uris" : [ "http://www.mendeley.com/documents/?uuid=ae07ce4c-723e-4168-883d-693465a50a4a" ] } ], "mendeley" : { "formattedCitation" : "[2]", "plainTextFormattedCitation" : "[2]", "previouslyFormattedCitation" : "[2]" }, "properties" : {  }, "schema" : "https://github.com/citation-style-language/schema/raw/master/csl-citation.json" }</w:instrText>
      </w:r>
      <w:r>
        <w:rPr>
          <w:color w:val="000000"/>
        </w:rPr>
        <w:fldChar w:fldCharType="separate"/>
      </w:r>
      <w:r w:rsidR="00451C76" w:rsidRPr="00451C76">
        <w:rPr>
          <w:noProof/>
          <w:color w:val="000000"/>
        </w:rPr>
        <w:t>[2]</w:t>
      </w:r>
      <w:r>
        <w:rPr>
          <w:color w:val="000000"/>
        </w:rPr>
        <w:fldChar w:fldCharType="end"/>
      </w:r>
      <w:r w:rsidRPr="001915C9">
        <w:rPr>
          <w:color w:val="000000"/>
        </w:rPr>
        <w:t>.</w:t>
      </w:r>
      <w:r>
        <w:rPr>
          <w:color w:val="000000"/>
        </w:rPr>
        <w:t xml:space="preserve"> </w:t>
      </w:r>
      <w:r w:rsidR="00DC5777" w:rsidRPr="0055200B">
        <w:rPr>
          <w:color w:val="000000"/>
        </w:rPr>
        <w:t xml:space="preserve">Furthermore, </w:t>
      </w:r>
      <w:r w:rsidR="00DC5777" w:rsidRPr="0055200B">
        <w:rPr>
          <w:rFonts w:eastAsia="Times New Roman"/>
          <w:color w:val="000000"/>
        </w:rPr>
        <w:t>t</w:t>
      </w:r>
      <w:r w:rsidRPr="0055200B">
        <w:rPr>
          <w:rFonts w:eastAsia="Times New Roman"/>
          <w:color w:val="000000"/>
        </w:rPr>
        <w:t xml:space="preserve">he MPEG-G standard will provide new </w:t>
      </w:r>
      <w:r w:rsidR="00742222" w:rsidRPr="0055200B">
        <w:rPr>
          <w:rFonts w:eastAsia="Times New Roman"/>
          <w:color w:val="000000"/>
        </w:rPr>
        <w:t>functionalit</w:t>
      </w:r>
      <w:r w:rsidR="00742222">
        <w:rPr>
          <w:rFonts w:eastAsia="Times New Roman"/>
          <w:color w:val="000000"/>
        </w:rPr>
        <w:t>ies</w:t>
      </w:r>
      <w:r w:rsidR="00742222" w:rsidRPr="0055200B">
        <w:rPr>
          <w:rFonts w:eastAsia="Times New Roman"/>
          <w:color w:val="000000"/>
        </w:rPr>
        <w:t xml:space="preserve"> </w:t>
      </w:r>
      <w:r w:rsidRPr="0055200B">
        <w:rPr>
          <w:rFonts w:eastAsia="Times New Roman"/>
          <w:color w:val="000000"/>
        </w:rPr>
        <w:t xml:space="preserve">such as native support for selective access, data protection mechanisms, flexible storage and streaming </w:t>
      </w:r>
      <w:r w:rsidR="00264329" w:rsidRPr="0055200B">
        <w:rPr>
          <w:rFonts w:eastAsia="Times New Roman"/>
          <w:color w:val="000000"/>
        </w:rPr>
        <w:t>capabilities</w:t>
      </w:r>
      <w:r w:rsidR="00742222">
        <w:rPr>
          <w:rFonts w:eastAsia="Times New Roman"/>
          <w:color w:val="000000"/>
        </w:rPr>
        <w:t>. This will</w:t>
      </w:r>
      <w:r w:rsidR="00742222" w:rsidRPr="0055200B">
        <w:rPr>
          <w:rFonts w:eastAsia="Times New Roman"/>
          <w:color w:val="000000"/>
        </w:rPr>
        <w:t xml:space="preserve"> enabl</w:t>
      </w:r>
      <w:r w:rsidR="00742222">
        <w:rPr>
          <w:rFonts w:eastAsia="Times New Roman"/>
          <w:color w:val="000000"/>
        </w:rPr>
        <w:t>e</w:t>
      </w:r>
      <w:r w:rsidR="00742222" w:rsidRPr="0055200B">
        <w:rPr>
          <w:rFonts w:eastAsia="Times New Roman"/>
          <w:color w:val="000000"/>
        </w:rPr>
        <w:t xml:space="preserve"> </w:t>
      </w:r>
      <w:r w:rsidR="00742222">
        <w:rPr>
          <w:rFonts w:eastAsia="Times New Roman"/>
          <w:color w:val="000000"/>
        </w:rPr>
        <w:t>various</w:t>
      </w:r>
      <w:r w:rsidR="00742222" w:rsidRPr="0055200B">
        <w:rPr>
          <w:rFonts w:eastAsia="Times New Roman"/>
          <w:color w:val="000000"/>
        </w:rPr>
        <w:t xml:space="preserve"> </w:t>
      </w:r>
      <w:r w:rsidR="00742222">
        <w:rPr>
          <w:rFonts w:eastAsia="Times New Roman"/>
          <w:color w:val="000000"/>
        </w:rPr>
        <w:t xml:space="preserve">new </w:t>
      </w:r>
      <w:r w:rsidR="00264329" w:rsidRPr="0055200B">
        <w:rPr>
          <w:rFonts w:eastAsia="Times New Roman"/>
          <w:color w:val="000000"/>
        </w:rPr>
        <w:t>applications scenarios</w:t>
      </w:r>
      <w:r w:rsidR="00742222">
        <w:rPr>
          <w:rFonts w:eastAsia="Times New Roman"/>
          <w:color w:val="000000"/>
        </w:rPr>
        <w:t>,</w:t>
      </w:r>
      <w:r w:rsidR="00264329" w:rsidRPr="0055200B">
        <w:rPr>
          <w:rFonts w:eastAsia="Times New Roman"/>
          <w:color w:val="000000"/>
        </w:rPr>
        <w:t xml:space="preserve"> such as </w:t>
      </w:r>
      <w:r w:rsidRPr="0055200B">
        <w:rPr>
          <w:rFonts w:eastAsia="Times New Roman"/>
          <w:color w:val="000000"/>
        </w:rPr>
        <w:t>real-time streaming of data from a sequencing machine to remote analysis center</w:t>
      </w:r>
      <w:r w:rsidR="00C8344E" w:rsidRPr="0055200B">
        <w:rPr>
          <w:rFonts w:eastAsia="Times New Roman"/>
          <w:color w:val="000000"/>
        </w:rPr>
        <w:t>s</w:t>
      </w:r>
      <w:r w:rsidRPr="0055200B">
        <w:rPr>
          <w:rFonts w:eastAsia="Times New Roman"/>
          <w:color w:val="000000"/>
        </w:rPr>
        <w:t xml:space="preserve"> during the sequencing </w:t>
      </w:r>
      <w:r w:rsidR="00C8344E" w:rsidRPr="0055200B">
        <w:rPr>
          <w:rFonts w:eastAsia="Times New Roman"/>
          <w:color w:val="000000"/>
        </w:rPr>
        <w:t>and alignment processes</w:t>
      </w:r>
      <w:r w:rsidRPr="0055200B">
        <w:rPr>
          <w:rFonts w:eastAsia="Times New Roman"/>
          <w:color w:val="000000"/>
        </w:rPr>
        <w:t>.</w:t>
      </w:r>
    </w:p>
    <w:p w14:paraId="708743AC" w14:textId="76343D60" w:rsidR="00AF56A9" w:rsidRDefault="00742222" w:rsidP="00AF56A9">
      <w:r>
        <w:rPr>
          <w:rFonts w:eastAsia="Times New Roman"/>
          <w:color w:val="000000"/>
        </w:rPr>
        <w:t>Interoperability and integration with existing genom</w:t>
      </w:r>
      <w:r w:rsidR="000105F3">
        <w:rPr>
          <w:rFonts w:eastAsia="Times New Roman"/>
          <w:color w:val="000000"/>
        </w:rPr>
        <w:t>ic</w:t>
      </w:r>
      <w:r>
        <w:rPr>
          <w:rFonts w:eastAsia="Times New Roman"/>
          <w:color w:val="000000"/>
        </w:rPr>
        <w:t xml:space="preserve"> </w:t>
      </w:r>
      <w:r w:rsidR="000105F3">
        <w:rPr>
          <w:rFonts w:eastAsia="Times New Roman"/>
          <w:color w:val="000000"/>
        </w:rPr>
        <w:t xml:space="preserve">information </w:t>
      </w:r>
      <w:r>
        <w:rPr>
          <w:rFonts w:eastAsia="Times New Roman"/>
          <w:color w:val="000000"/>
        </w:rPr>
        <w:t>processing pipelines is enabled by supporting c</w:t>
      </w:r>
      <w:r w:rsidRPr="0055200B">
        <w:rPr>
          <w:rFonts w:eastAsia="Times New Roman"/>
          <w:color w:val="000000"/>
        </w:rPr>
        <w:t xml:space="preserve">onversion </w:t>
      </w:r>
      <w:r w:rsidR="00AF56A9" w:rsidRPr="0055200B">
        <w:rPr>
          <w:rFonts w:eastAsia="Times New Roman"/>
          <w:color w:val="000000"/>
        </w:rPr>
        <w:t xml:space="preserve">from/to the </w:t>
      </w:r>
      <w:r w:rsidR="00C8344E" w:rsidRPr="0055200B">
        <w:rPr>
          <w:rFonts w:eastAsia="Times New Roman"/>
          <w:color w:val="000000"/>
        </w:rPr>
        <w:t xml:space="preserve">legacy </w:t>
      </w:r>
      <w:r w:rsidR="00AF56A9" w:rsidRPr="0055200B">
        <w:rPr>
          <w:rFonts w:eastAsia="Times New Roman"/>
          <w:color w:val="000000"/>
        </w:rPr>
        <w:t>FASTQ/SAM/BAM file formats.</w:t>
      </w:r>
    </w:p>
    <w:p w14:paraId="12BCD7B7" w14:textId="1F43364F" w:rsidR="001915C9" w:rsidRDefault="00EF057B" w:rsidP="00EF057B">
      <w:pPr>
        <w:pStyle w:val="Heading2"/>
      </w:pPr>
      <w:r>
        <w:t>Requirements</w:t>
      </w:r>
      <w:r w:rsidR="00187F57">
        <w:t xml:space="preserve"> for an </w:t>
      </w:r>
      <w:r>
        <w:t>e</w:t>
      </w:r>
      <w:r w:rsidR="00187F57">
        <w:t xml:space="preserve">fficient </w:t>
      </w:r>
      <w:r>
        <w:t>g</w:t>
      </w:r>
      <w:r w:rsidR="00187F57">
        <w:t xml:space="preserve">enomic </w:t>
      </w:r>
      <w:r>
        <w:t>i</w:t>
      </w:r>
      <w:r w:rsidR="00187F57">
        <w:t xml:space="preserve">nformation </w:t>
      </w:r>
      <w:r>
        <w:t>r</w:t>
      </w:r>
      <w:r w:rsidR="00187F57">
        <w:t>epresentation</w:t>
      </w:r>
    </w:p>
    <w:p w14:paraId="1645C806" w14:textId="3910C666" w:rsidR="00947467" w:rsidRDefault="00947467" w:rsidP="007702AB">
      <w:r w:rsidRPr="008A2C12">
        <w:t xml:space="preserve">Today, a single sequencing system can deliver </w:t>
      </w:r>
      <w:r w:rsidR="00A7545B">
        <w:t xml:space="preserve">the equivalent of </w:t>
      </w:r>
      <w:r w:rsidRPr="008A2C12">
        <w:t xml:space="preserve">18,000 whole human genomes per year, which accounts for almost 5 PB of data per year. This leads to the forecasts that the amount of genomic data is expected </w:t>
      </w:r>
      <w:r w:rsidR="00A7545B">
        <w:t xml:space="preserve">soon </w:t>
      </w:r>
      <w:r w:rsidRPr="008A2C12">
        <w:t>to surpass astronomical data in volume </w:t>
      </w:r>
      <w:r w:rsidRPr="008A2C12">
        <w:fldChar w:fldCharType="begin" w:fldLock="1"/>
      </w:r>
      <w:r w:rsidR="00451C76">
        <w:instrText>ADDIN CSL_CITATION { "citationItems" : [ { "id" : "ITEM-1", "itemData" : { "DOI" : "10.1371/journal.pbio.1002195", "ISSN" : "1545-7885", "abstract" : "Genomics is a Big Data science and is going to getmuch bigger, very soon, but it is not known whether the needs of genomics will exceed other Big Data domains. Projecting to the year 2025, we compared genomics with three other major generators of Big Data: astronomy, YouTube, and Twitter. Our estimates show that genomics is a \u201cfour-headed beast\u201d\u2014it is either on par with or the most demanding of the domains analyzed here in terms of data acquisition, storage, distribution, and analysis. We discuss aspects of new technologies that will need to be developed to rise up and meet the computational chal- lenges that genomics poses for the near future. Now is the time for concerted, community- wide planning for the \u201cgenomical\u201d challenges of the next decade.", "author" : [ { "dropping-particle" : "", "family" : "Stephens", "given" : "Zachary D", "non-dropping-particle" : "", "parse-names" : false, "suffix" : "" }, { "dropping-particle" : "", "family" : "Lee", "given" : "Skylar Y", "non-dropping-particle" : "", "parse-names" : false, "suffix" : "" }, { "dropping-particle" : "", "family" : "Faghri", "given" : "Faraz", "non-dropping-particle" : "", "parse-names" : false, "suffix" : "" }, { "dropping-particle" : "", "family" : "Campbell", "given" : "Roy H", "non-dropping-particle" : "", "parse-names" : false, "suffix" : "" }, { "dropping-particle" : "", "family" : "Zhai", "given" : "Chengxiang", "non-dropping-particle" : "", "parse-names" : false, "suffix" : "" }, { "dropping-particle" : "", "family" : "Efron", "given" : "Miles J", "non-dropping-particle" : "", "parse-names" : false, "suffix" : "" }, { "dropping-particle" : "", "family" : "Iyer", "given" : "Ravishankar", "non-dropping-particle" : "", "parse-names" : false, "suffix" : "" }, { "dropping-particle" : "", "family" : "Schatz", "given" : "Michael C", "non-dropping-particle" : "", "parse-names" : false, "suffix" : "" }, { "dropping-particle" : "", "family" : "Sinha", "given" : "Saurabh", "non-dropping-particle" : "", "parse-names" : false, "suffix" : "" }, { "dropping-particle" : "", "family" : "Robinson", "given" : "Gene E", "non-dropping-particle" : "", "parse-names" : false, "suffix" : "" } ], "container-title" : "PLOS Biology", "id" : "ITEM-1", "issue" : "7", "issued" : { "date-parts" : [ [ "2015", "7", "7" ] ] }, "page" : "e1002195", "title" : "Big Data: Astronomical or Genomical?", "type" : "article-journal", "volume" : "13" }, "uris" : [ "http://www.mendeley.com/documents/?uuid=78f6cffc-fb2e-4790-9215-2637b75f51da" ] } ], "mendeley" : { "formattedCitation" : "[3]", "plainTextFormattedCitation" : "[3]", "previouslyFormattedCitation" : "[3]" }, "properties" : {  }, "schema" : "https://github.com/citation-style-language/schema/raw/master/csl-citation.json" }</w:instrText>
      </w:r>
      <w:r w:rsidRPr="008A2C12">
        <w:fldChar w:fldCharType="separate"/>
      </w:r>
      <w:r w:rsidR="00451C76" w:rsidRPr="00451C76">
        <w:rPr>
          <w:noProof/>
        </w:rPr>
        <w:t>[3]</w:t>
      </w:r>
      <w:r w:rsidRPr="008A2C12">
        <w:fldChar w:fldCharType="end"/>
      </w:r>
      <w:r w:rsidRPr="008A2C12">
        <w:t>. The efficient storage and transmission of genomic data is thus becoming of utmost importance.</w:t>
      </w:r>
    </w:p>
    <w:p w14:paraId="0D8DEB95" w14:textId="76650D72" w:rsidR="00947467" w:rsidRDefault="00CA2DE5" w:rsidP="007702AB">
      <w:r>
        <w:t xml:space="preserve">Motivated by this demand, </w:t>
      </w:r>
      <w:r w:rsidR="003B460A">
        <w:t xml:space="preserve">MPEG </w:t>
      </w:r>
      <w:r w:rsidR="00264329">
        <w:t xml:space="preserve">and </w:t>
      </w:r>
      <w:r w:rsidR="00264329" w:rsidRPr="00672825">
        <w:rPr>
          <w:color w:val="000000"/>
        </w:rPr>
        <w:t>ISO</w:t>
      </w:r>
      <w:r w:rsidR="00BD7600">
        <w:rPr>
          <w:color w:val="000000"/>
        </w:rPr>
        <w:t xml:space="preserve"> </w:t>
      </w:r>
      <w:r w:rsidR="00264329" w:rsidRPr="00672825">
        <w:rPr>
          <w:color w:val="000000"/>
        </w:rPr>
        <w:t>TC</w:t>
      </w:r>
      <w:r w:rsidR="00951395">
        <w:rPr>
          <w:color w:val="000000"/>
        </w:rPr>
        <w:t> </w:t>
      </w:r>
      <w:r w:rsidR="00264329" w:rsidRPr="00672825">
        <w:rPr>
          <w:color w:val="000000"/>
        </w:rPr>
        <w:t>276/WG</w:t>
      </w:r>
      <w:r w:rsidR="00951395">
        <w:rPr>
          <w:color w:val="000000"/>
        </w:rPr>
        <w:t> </w:t>
      </w:r>
      <w:r w:rsidR="00264329" w:rsidRPr="00672825">
        <w:rPr>
          <w:color w:val="000000"/>
        </w:rPr>
        <w:t>5</w:t>
      </w:r>
      <w:r w:rsidR="00951395">
        <w:rPr>
          <w:color w:val="000000"/>
        </w:rPr>
        <w:t xml:space="preserve"> </w:t>
      </w:r>
      <w:r w:rsidR="003B460A">
        <w:t>ha</w:t>
      </w:r>
      <w:r w:rsidR="00264329">
        <w:t>ve</w:t>
      </w:r>
      <w:r w:rsidR="003B460A">
        <w:t xml:space="preserve"> been</w:t>
      </w:r>
      <w:r w:rsidR="00187F57" w:rsidRPr="007702AB">
        <w:t xml:space="preserve"> analyzing the main stages of typical genomic information processing</w:t>
      </w:r>
      <w:r>
        <w:t xml:space="preserve"> s</w:t>
      </w:r>
      <w:r w:rsidRPr="007702AB">
        <w:t>ince July 2014</w:t>
      </w:r>
      <w:r w:rsidR="00536031">
        <w:t>.</w:t>
      </w:r>
      <w:r w:rsidR="007702AB" w:rsidRPr="007702AB">
        <w:t xml:space="preserve"> T</w:t>
      </w:r>
      <w:r w:rsidR="00187F57" w:rsidRPr="007702AB">
        <w:t xml:space="preserve">he work </w:t>
      </w:r>
      <w:r w:rsidR="00DC124A">
        <w:t>produced</w:t>
      </w:r>
      <w:r w:rsidR="003B460A">
        <w:t xml:space="preserve"> </w:t>
      </w:r>
      <w:r w:rsidR="00264329">
        <w:t>a list of</w:t>
      </w:r>
      <w:r w:rsidR="003B460A" w:rsidRPr="007702AB">
        <w:t xml:space="preserve"> </w:t>
      </w:r>
      <w:r w:rsidR="00187F57" w:rsidRPr="007702AB">
        <w:t xml:space="preserve">requirements </w:t>
      </w:r>
      <w:r w:rsidR="00264329">
        <w:t xml:space="preserve">to be satisfied </w:t>
      </w:r>
      <w:r w:rsidR="00187F57" w:rsidRPr="007702AB">
        <w:t>for</w:t>
      </w:r>
      <w:r w:rsidR="003B460A">
        <w:t xml:space="preserve"> </w:t>
      </w:r>
      <w:r w:rsidR="00264329">
        <w:t xml:space="preserve">achieving an </w:t>
      </w:r>
      <w:r w:rsidR="003B460A">
        <w:t xml:space="preserve">efficient </w:t>
      </w:r>
      <w:r w:rsidR="00264329">
        <w:t xml:space="preserve">compressed </w:t>
      </w:r>
      <w:r w:rsidR="003B460A">
        <w:t>representation of</w:t>
      </w:r>
      <w:r w:rsidR="00187F57" w:rsidRPr="007702AB">
        <w:t xml:space="preserve"> raw and aligned reads produced at the initial stages of processing pipeline</w:t>
      </w:r>
      <w:r w:rsidR="003B460A">
        <w:t>s</w:t>
      </w:r>
      <w:r w:rsidR="00AC71CE">
        <w:t xml:space="preserve"> for genomic information</w:t>
      </w:r>
      <w:r w:rsidR="003B460A">
        <w:t xml:space="preserve">, as well as </w:t>
      </w:r>
      <w:r w:rsidR="00264329">
        <w:t>a list of</w:t>
      </w:r>
      <w:r w:rsidR="003B460A">
        <w:t xml:space="preserve"> </w:t>
      </w:r>
      <w:r w:rsidR="00187F57" w:rsidRPr="007702AB">
        <w:t xml:space="preserve">requirements for </w:t>
      </w:r>
      <w:r w:rsidR="00941C21">
        <w:t xml:space="preserve">the </w:t>
      </w:r>
      <w:r w:rsidR="00187F57" w:rsidRPr="007702AB">
        <w:t xml:space="preserve">efficient transport </w:t>
      </w:r>
      <w:r w:rsidR="00951395">
        <w:t xml:space="preserve">of </w:t>
      </w:r>
      <w:r w:rsidR="00264329">
        <w:t xml:space="preserve">and </w:t>
      </w:r>
      <w:r w:rsidR="00797971">
        <w:t xml:space="preserve">for </w:t>
      </w:r>
      <w:r w:rsidR="00941C21">
        <w:t xml:space="preserve">the </w:t>
      </w:r>
      <w:r w:rsidR="00264329">
        <w:t xml:space="preserve">selective access </w:t>
      </w:r>
      <w:r w:rsidR="00951395">
        <w:t>to</w:t>
      </w:r>
      <w:r w:rsidR="00951395" w:rsidRPr="007702AB">
        <w:t xml:space="preserve"> </w:t>
      </w:r>
      <w:r w:rsidR="00187F57" w:rsidRPr="007702AB">
        <w:t>the compressed genomic dat</w:t>
      </w:r>
      <w:r w:rsidR="003B460A">
        <w:t>a</w:t>
      </w:r>
      <w:r w:rsidR="00187F57" w:rsidRPr="007702AB">
        <w:t>.</w:t>
      </w:r>
    </w:p>
    <w:p w14:paraId="28F9643D" w14:textId="6EEAD717" w:rsidR="007210D7" w:rsidRDefault="00264329" w:rsidP="00187F57">
      <w:r>
        <w:t xml:space="preserve">In the </w:t>
      </w:r>
      <w:r w:rsidR="009A4BB5">
        <w:t>meantime</w:t>
      </w:r>
      <w:r w:rsidR="004A3E9D">
        <w:t>,</w:t>
      </w:r>
      <w:r w:rsidR="009A4BB5">
        <w:t xml:space="preserve"> </w:t>
      </w:r>
      <w:r>
        <w:t>a</w:t>
      </w:r>
      <w:r w:rsidR="00187F57" w:rsidRPr="007702AB">
        <w:t xml:space="preserve">n increasing consensus </w:t>
      </w:r>
      <w:r w:rsidR="009A4BB5">
        <w:t xml:space="preserve">had </w:t>
      </w:r>
      <w:r w:rsidR="00D74D65">
        <w:t>been</w:t>
      </w:r>
      <w:r w:rsidR="00D74D65" w:rsidRPr="007702AB">
        <w:t xml:space="preserve"> </w:t>
      </w:r>
      <w:r w:rsidR="00187F57" w:rsidRPr="007702AB">
        <w:t xml:space="preserve">rising in the scientific community around the notion of </w:t>
      </w:r>
      <w:r w:rsidR="00E47AA4">
        <w:t>quantized transmission</w:t>
      </w:r>
      <w:r w:rsidR="00187F57" w:rsidRPr="007702AB">
        <w:t xml:space="preserve"> of the</w:t>
      </w:r>
      <w:r w:rsidR="00E47AA4">
        <w:t xml:space="preserve"> metadata (i.e. quality </w:t>
      </w:r>
      <w:r>
        <w:t>values</w:t>
      </w:r>
      <w:r w:rsidR="00187F57" w:rsidRPr="007702AB">
        <w:t xml:space="preserve">) generated </w:t>
      </w:r>
      <w:r>
        <w:t xml:space="preserve">in very large volumes </w:t>
      </w:r>
      <w:r w:rsidR="00187F57" w:rsidRPr="007702AB">
        <w:t>by sequencing machines</w:t>
      </w:r>
      <w:r w:rsidR="00154B0A">
        <w:rPr>
          <w:color w:val="000000"/>
        </w:rPr>
        <w:t> </w:t>
      </w:r>
      <w:r w:rsidR="007702AB">
        <w:fldChar w:fldCharType="begin" w:fldLock="1"/>
      </w:r>
      <w:r w:rsidR="007304D3">
        <w:instrText>ADDIN CSL_CITATION { "citationItems" : [ { "id" : "ITEM-1", "itemData" : { "DOI" : "10.1093/bib/bbw011", "ISSN" : "1467-5463", "PMID" : "26966283", "abstract" : "Recent advancements in sequencing technology have led to a drastic reduction in genome sequencing costs. This development has generated an unprecedented amount of data that must be stored, processed, and communicated. To facilitate this effort, compression of genomic files has been proposed. Specifically, lossy compression of quality scores is emerging as a natural candidate for reducing the growing costs of storage. A main goal of performing DNA sequencing in population studies and clinical settings is to identify genetic variation. Though the field agrees that smaller files are advantageous, the cost of lossy compression, in terms of variant discovery, is unclear.Bioinformatic algorithms to identify SNPs and INDELs use base quality score information; here, we evaluate the effect of lossy compression of quality scores on SNP and INDEL detection. Specifically, we investigate how the output of the variant caller when using the original data differs from that obtained when quality scores are replaced by those generated by a lossy compressor. Using gold standard genomic datasets and simulated data, we are able to analyze how accurate the output of the variant calling is, both for the original data and that previously lossily compressed. We show that lossy compression can significantly alleviate the storage while maintaining variant calling performance comparable to that with the original data. Further, in some cases lossy compression can lead to variant calling performance that is superior to that using the original file. We envisage our findings and framework serving as a benchmark in future development and analyses of lossy genomic data compressors.", "author" : [ { "dropping-particle" : "", "family" : "Ochoa", "given" : "Idoia", "non-dropping-particle" : "", "parse-names" : false, "suffix" : "" }, { "dropping-particle" : "", "family" : "Hernaez", "given" : "Mikel", "non-dropping-particle" : "", "parse-names" : false, "suffix" : "" }, { "dropping-particle" : "", "family" : "Goldfeder", "given" : "Rachel", "non-dropping-particle" : "", "parse-names" : false, "suffix" : "" }, { "dropping-particle" : "", "family" : "Weissman", "given" : "Tsachy", "non-dropping-particle" : "", "parse-names" : false, "suffix" : "" }, { "dropping-particle" : "", "family" : "Ashley", "given" : "Euan", "non-dropping-particle" : "", "parse-names" : false, "suffix" : "" } ], "container-title" : "Briefings in Bioinformatics", "id" : "ITEM-1", "issue" : "2", "issued" : { "date-parts" : [ [ "2016", "3", "10" ] ] }, "page" : "183-194", "title" : "Effect of lossy compression of quality scores on variant calling", "type" : "article-journal", "volume" : "18" }, "uris" : [ "http://www.mendeley.com/documents/?uuid=be84c8ff-2d1a-4db5-9f3e-d511c988f471" ] }, { "id" : "ITEM-2", "itemData" : { "DOI" : "10.1038/nbt.3170", "ISSN" : "1087-0156", "PMID" : "25748910", "author" : [ { "dropping-particle" : "", "family" : "Yu", "given" : "Y William", "non-dropping-particle" : "", "parse-names" : false, "suffix" : "" }, { "dropping-particle" : "", "family" : "Yorukoglu", "given" : "Deniz", "non-dropping-particle" : "", "parse-names" : false, "suffix" : "" }, { "dropping-particle" : "", "family" : "Peng", "given" : "Jian", "non-dropping-particle" : "", "parse-names" : false, "suffix" : "" }, { "dropping-particle" : "", "family" : "Berger", "given" : "Bonnie", "non-dropping-particle" : "", "parse-names" : false, "suffix" : "" } ], "container-title" : "Nature Biotechnology", "id" : "ITEM-2", "issue" : "3", "issued" : { "date-parts" : [ [ "2015", "3", "1" ] ] }, "page" : "240-243", "publisher" : "Nature Publishing Group, a division of Macmillan Publishers Limited. All Rights Reserved.", "title" : "Quality score compression improves genotyping accuracy", "title-short" : "Nat Biotech", "type" : "article-journal", "volume" : "33" }, "uris" : [ "http://www.mendeley.com/documents/?uuid=1413070a-3c25-444d-aa58-77ff78c748f7" ] } ], "mendeley" : { "formattedCitation" : "[4], [5]", "manualFormatting" : "[4],\u00a0[5]", "plainTextFormattedCitation" : "[4], [5]", "previouslyFormattedCitation" : "[4], [5]" }, "properties" : {  }, "schema" : "https://github.com/citation-style-language/schema/raw/master/csl-citation.json" }</w:instrText>
      </w:r>
      <w:r w:rsidR="007702AB">
        <w:fldChar w:fldCharType="separate"/>
      </w:r>
      <w:r w:rsidR="00451C76" w:rsidRPr="00451C76">
        <w:rPr>
          <w:noProof/>
        </w:rPr>
        <w:t>[4],</w:t>
      </w:r>
      <w:r w:rsidR="002B2B44">
        <w:rPr>
          <w:noProof/>
        </w:rPr>
        <w:t> </w:t>
      </w:r>
      <w:r w:rsidR="00451C76" w:rsidRPr="00451C76">
        <w:rPr>
          <w:noProof/>
        </w:rPr>
        <w:t>[5]</w:t>
      </w:r>
      <w:r w:rsidR="007702AB">
        <w:fldChar w:fldCharType="end"/>
      </w:r>
      <w:r w:rsidR="00187F57" w:rsidRPr="007702AB">
        <w:t>.</w:t>
      </w:r>
      <w:r w:rsidR="003B460A">
        <w:t xml:space="preserve"> </w:t>
      </w:r>
      <w:r w:rsidR="00187F57" w:rsidRPr="007702AB">
        <w:t xml:space="preserve">Therefore, additional requirements for solutions that address </w:t>
      </w:r>
      <w:r>
        <w:t xml:space="preserve">calibrated and </w:t>
      </w:r>
      <w:r w:rsidR="003B460A">
        <w:t>quantized</w:t>
      </w:r>
      <w:r w:rsidR="00187F57" w:rsidRPr="007702AB">
        <w:t xml:space="preserve"> </w:t>
      </w:r>
      <w:r w:rsidR="00605EC9">
        <w:t>compressed representations</w:t>
      </w:r>
      <w:r w:rsidR="00605EC9" w:rsidRPr="007702AB">
        <w:t xml:space="preserve"> </w:t>
      </w:r>
      <w:r w:rsidR="00187F57" w:rsidRPr="007702AB">
        <w:t xml:space="preserve">of such metadata </w:t>
      </w:r>
      <w:r w:rsidR="00DC124A">
        <w:t>were</w:t>
      </w:r>
      <w:r w:rsidR="00187F57" w:rsidRPr="007702AB">
        <w:t xml:space="preserve"> identified.</w:t>
      </w:r>
    </w:p>
    <w:p w14:paraId="77F9D3B0" w14:textId="725AB940" w:rsidR="00187F57" w:rsidRPr="007702AB" w:rsidRDefault="00C348E7" w:rsidP="00187F57">
      <w:pPr>
        <w:rPr>
          <w:rFonts w:eastAsia="Times New Roman"/>
          <w:color w:val="000000"/>
        </w:rPr>
      </w:pPr>
      <w:r>
        <w:t>T</w:t>
      </w:r>
      <w:r w:rsidR="00187F57" w:rsidRPr="007702AB">
        <w:t>h</w:t>
      </w:r>
      <w:r w:rsidR="007210D7">
        <w:t>e</w:t>
      </w:r>
      <w:r w:rsidR="00187F57" w:rsidRPr="007702AB">
        <w:t xml:space="preserve"> process</w:t>
      </w:r>
      <w:r w:rsidR="006D23C9">
        <w:t xml:space="preserve"> of identifying</w:t>
      </w:r>
      <w:r w:rsidR="007210D7">
        <w:t xml:space="preserve"> </w:t>
      </w:r>
      <w:r w:rsidR="006D23C9">
        <w:t xml:space="preserve">all requirements of a standard to address and solve the </w:t>
      </w:r>
      <w:r w:rsidR="00DC124A">
        <w:t xml:space="preserve">various </w:t>
      </w:r>
      <w:r w:rsidR="006D23C9">
        <w:t xml:space="preserve">challenging problems </w:t>
      </w:r>
      <w:r w:rsidR="00985871">
        <w:t xml:space="preserve">of </w:t>
      </w:r>
      <w:r w:rsidR="00951395">
        <w:t>HTS data processing</w:t>
      </w:r>
      <w:r w:rsidR="006D23C9">
        <w:t xml:space="preserve"> </w:t>
      </w:r>
      <w:r w:rsidR="009A4BB5">
        <w:t>was</w:t>
      </w:r>
      <w:r w:rsidR="00DC124A">
        <w:t xml:space="preserve"> </w:t>
      </w:r>
      <w:r>
        <w:t>a</w:t>
      </w:r>
      <w:r w:rsidR="00985871">
        <w:t xml:space="preserve"> wide interdisciplinary effort</w:t>
      </w:r>
      <w:r w:rsidR="00187F57" w:rsidRPr="007702AB">
        <w:t xml:space="preserve"> </w:t>
      </w:r>
      <w:r w:rsidR="009B27D0">
        <w:t>grouping</w:t>
      </w:r>
      <w:r w:rsidR="00985871">
        <w:t xml:space="preserve"> </w:t>
      </w:r>
      <w:r w:rsidR="00187F57" w:rsidRPr="007702AB">
        <w:t xml:space="preserve">experts </w:t>
      </w:r>
      <w:r w:rsidR="00951395">
        <w:t>from</w:t>
      </w:r>
      <w:r w:rsidR="00951395" w:rsidRPr="007702AB">
        <w:t xml:space="preserve"> </w:t>
      </w:r>
      <w:r w:rsidR="009B27D0">
        <w:t xml:space="preserve">different </w:t>
      </w:r>
      <w:r w:rsidR="00187F57" w:rsidRPr="007702AB">
        <w:t xml:space="preserve">domains including bioinformatics, biology, information theory, telecommunication, </w:t>
      </w:r>
      <w:r w:rsidR="009B27D0">
        <w:t xml:space="preserve">video and </w:t>
      </w:r>
      <w:r w:rsidR="00187F57" w:rsidRPr="007702AB">
        <w:t>data compression, data storage, and information security.</w:t>
      </w:r>
      <w:r w:rsidR="007702AB">
        <w:t xml:space="preserve"> </w:t>
      </w:r>
      <w:r w:rsidR="00187F57" w:rsidRPr="007702AB">
        <w:rPr>
          <w:rFonts w:eastAsia="Times New Roman"/>
          <w:color w:val="000000"/>
        </w:rPr>
        <w:t>The</w:t>
      </w:r>
      <w:r>
        <w:rPr>
          <w:rFonts w:eastAsia="Times New Roman"/>
          <w:color w:val="000000"/>
        </w:rPr>
        <w:t xml:space="preserve"> identified</w:t>
      </w:r>
      <w:r w:rsidR="00187F57" w:rsidRPr="007702AB">
        <w:rPr>
          <w:rFonts w:eastAsia="Times New Roman"/>
          <w:color w:val="000000"/>
        </w:rPr>
        <w:t xml:space="preserve"> requirements </w:t>
      </w:r>
      <w:r>
        <w:rPr>
          <w:rFonts w:eastAsia="Times New Roman"/>
          <w:color w:val="000000"/>
        </w:rPr>
        <w:t xml:space="preserve">that </w:t>
      </w:r>
      <w:r w:rsidR="009A4BB5">
        <w:rPr>
          <w:rFonts w:eastAsia="Times New Roman"/>
          <w:color w:val="000000"/>
        </w:rPr>
        <w:t>were</w:t>
      </w:r>
      <w:r w:rsidR="0003174E">
        <w:rPr>
          <w:rFonts w:eastAsia="Times New Roman"/>
          <w:color w:val="000000"/>
        </w:rPr>
        <w:t xml:space="preserve"> the baseline </w:t>
      </w:r>
      <w:r>
        <w:rPr>
          <w:rFonts w:eastAsia="Times New Roman"/>
          <w:color w:val="000000"/>
        </w:rPr>
        <w:t>for</w:t>
      </w:r>
      <w:r w:rsidR="0003174E">
        <w:rPr>
          <w:rFonts w:eastAsia="Times New Roman"/>
          <w:color w:val="000000"/>
        </w:rPr>
        <w:t xml:space="preserve"> the development of the MPEG-G standard</w:t>
      </w:r>
      <w:r w:rsidR="00187F57" w:rsidRPr="007702AB">
        <w:rPr>
          <w:rFonts w:eastAsia="Times New Roman"/>
          <w:color w:val="000000"/>
        </w:rPr>
        <w:t xml:space="preserve"> are </w:t>
      </w:r>
      <w:r>
        <w:rPr>
          <w:rFonts w:eastAsia="Times New Roman"/>
          <w:color w:val="000000"/>
        </w:rPr>
        <w:t>available</w:t>
      </w:r>
      <w:r w:rsidR="00187F57" w:rsidRPr="007702AB">
        <w:rPr>
          <w:rFonts w:eastAsia="Times New Roman"/>
          <w:color w:val="000000"/>
        </w:rPr>
        <w:t xml:space="preserve"> in </w:t>
      </w:r>
      <w:r>
        <w:rPr>
          <w:rFonts w:eastAsia="Times New Roman"/>
          <w:color w:val="000000"/>
        </w:rPr>
        <w:t xml:space="preserve">full </w:t>
      </w:r>
      <w:r w:rsidR="00187F57" w:rsidRPr="007702AB">
        <w:rPr>
          <w:rFonts w:eastAsia="Times New Roman"/>
          <w:color w:val="000000"/>
        </w:rPr>
        <w:t>detail in the public document N16323</w:t>
      </w:r>
      <w:r w:rsidR="00DF2613">
        <w:rPr>
          <w:rFonts w:eastAsia="Times New Roman"/>
          <w:color w:val="000000"/>
        </w:rPr>
        <w:t xml:space="preserve"> (MPEG)</w:t>
      </w:r>
      <w:r w:rsidR="00187F57" w:rsidRPr="007702AB">
        <w:rPr>
          <w:rFonts w:eastAsia="Times New Roman"/>
          <w:color w:val="000000"/>
        </w:rPr>
        <w:t>/N97</w:t>
      </w:r>
      <w:r w:rsidR="00DF2613">
        <w:rPr>
          <w:rFonts w:eastAsia="Times New Roman"/>
          <w:color w:val="000000"/>
        </w:rPr>
        <w:t xml:space="preserve"> (ISO</w:t>
      </w:r>
      <w:r w:rsidR="002B2B44">
        <w:rPr>
          <w:rFonts w:eastAsia="Times New Roman"/>
          <w:color w:val="000000"/>
        </w:rPr>
        <w:t> </w:t>
      </w:r>
      <w:r w:rsidR="00DF2613">
        <w:rPr>
          <w:rFonts w:eastAsia="Times New Roman"/>
          <w:color w:val="000000"/>
        </w:rPr>
        <w:t>TC</w:t>
      </w:r>
      <w:r w:rsidR="002B2B44">
        <w:rPr>
          <w:rFonts w:eastAsia="Times New Roman"/>
          <w:color w:val="000000"/>
        </w:rPr>
        <w:t> </w:t>
      </w:r>
      <w:r w:rsidR="00DF2613">
        <w:rPr>
          <w:rFonts w:eastAsia="Times New Roman"/>
          <w:color w:val="000000"/>
        </w:rPr>
        <w:t>276/WG</w:t>
      </w:r>
      <w:r w:rsidR="002B2B44">
        <w:rPr>
          <w:rFonts w:eastAsia="Times New Roman"/>
          <w:color w:val="000000"/>
        </w:rPr>
        <w:t> </w:t>
      </w:r>
      <w:r w:rsidR="00DF2613">
        <w:rPr>
          <w:rFonts w:eastAsia="Times New Roman"/>
          <w:color w:val="000000"/>
        </w:rPr>
        <w:t>5)</w:t>
      </w:r>
      <w:r w:rsidR="00187F57" w:rsidRPr="007702AB">
        <w:rPr>
          <w:rFonts w:eastAsia="Times New Roman"/>
          <w:color w:val="000000"/>
        </w:rPr>
        <w:t>.</w:t>
      </w:r>
    </w:p>
    <w:p w14:paraId="463B0E55" w14:textId="0A1F5840" w:rsidR="00187F57" w:rsidRDefault="00525473" w:rsidP="00EF057B">
      <w:pPr>
        <w:pStyle w:val="Heading2"/>
      </w:pPr>
      <w:r>
        <w:t>MPEG-G t</w:t>
      </w:r>
      <w:r w:rsidR="00187F57">
        <w:t>echnolog</w:t>
      </w:r>
      <w:r w:rsidR="008F7EA3">
        <w:t>y</w:t>
      </w:r>
    </w:p>
    <w:p w14:paraId="6CA1AF5E" w14:textId="2226CFD7" w:rsidR="00043571" w:rsidRDefault="00455E61" w:rsidP="00E551C2">
      <w:pPr>
        <w:rPr>
          <w:color w:val="000000"/>
        </w:rPr>
      </w:pPr>
      <w:r>
        <w:t>MPEG-G has been developed following the rigorously open process adopted by MPEG for its standards. A Call for Proposals was issued in June 2016</w:t>
      </w:r>
      <w:r w:rsidR="007F1E6C">
        <w:t xml:space="preserve"> and</w:t>
      </w:r>
      <w:r>
        <w:t xml:space="preserve"> </w:t>
      </w:r>
      <w:r w:rsidR="0043143D" w:rsidRPr="007F1E6C">
        <w:t>15</w:t>
      </w:r>
      <w:r>
        <w:t xml:space="preserve"> responses were received </w:t>
      </w:r>
      <w:r w:rsidR="0043143D">
        <w:t>from</w:t>
      </w:r>
      <w:r>
        <w:t xml:space="preserve"> </w:t>
      </w:r>
      <w:r w:rsidR="0043143D" w:rsidRPr="007F1E6C">
        <w:t>17</w:t>
      </w:r>
      <w:r>
        <w:t xml:space="preserve"> companies and organizations. The technologies </w:t>
      </w:r>
      <w:r w:rsidR="0043143D">
        <w:t>in the</w:t>
      </w:r>
      <w:r>
        <w:t xml:space="preserve"> responses were </w:t>
      </w:r>
      <w:r w:rsidR="0043143D">
        <w:t xml:space="preserve">evaluated using several </w:t>
      </w:r>
      <w:r w:rsidR="0043143D">
        <w:lastRenderedPageBreak/>
        <w:t>criter</w:t>
      </w:r>
      <w:r w:rsidR="007F1E6C">
        <w:t>i</w:t>
      </w:r>
      <w:r w:rsidR="0043143D">
        <w:t>a,</w:t>
      </w:r>
      <w:r>
        <w:t xml:space="preserve"> </w:t>
      </w:r>
      <w:r w:rsidR="0043143D">
        <w:rPr>
          <w:color w:val="000000"/>
        </w:rPr>
        <w:t>including</w:t>
      </w:r>
      <w:r w:rsidR="0043143D" w:rsidRPr="00187F57">
        <w:rPr>
          <w:color w:val="000000"/>
        </w:rPr>
        <w:t xml:space="preserve"> compression performance</w:t>
      </w:r>
      <w:r w:rsidR="0043143D">
        <w:rPr>
          <w:color w:val="000000"/>
        </w:rPr>
        <w:t xml:space="preserve"> and</w:t>
      </w:r>
      <w:r w:rsidR="0043143D" w:rsidRPr="00187F57">
        <w:rPr>
          <w:color w:val="000000"/>
        </w:rPr>
        <w:t xml:space="preserve"> separate assessment</w:t>
      </w:r>
      <w:r w:rsidR="0043143D">
        <w:rPr>
          <w:color w:val="000000"/>
        </w:rPr>
        <w:t>s</w:t>
      </w:r>
      <w:r w:rsidR="0043143D" w:rsidRPr="00187F57">
        <w:rPr>
          <w:color w:val="000000"/>
        </w:rPr>
        <w:t xml:space="preserve"> for each type of </w:t>
      </w:r>
      <w:r w:rsidR="0043143D">
        <w:rPr>
          <w:color w:val="000000"/>
        </w:rPr>
        <w:t xml:space="preserve">genomic </w:t>
      </w:r>
      <w:r w:rsidR="0043143D" w:rsidRPr="00187F57">
        <w:rPr>
          <w:color w:val="000000"/>
        </w:rPr>
        <w:t>data</w:t>
      </w:r>
      <w:r w:rsidR="0043143D">
        <w:rPr>
          <w:color w:val="000000"/>
        </w:rPr>
        <w:t>:</w:t>
      </w:r>
      <w:r w:rsidR="0043143D" w:rsidRPr="00187F57">
        <w:rPr>
          <w:color w:val="000000"/>
        </w:rPr>
        <w:t xml:space="preserve"> </w:t>
      </w:r>
      <w:r w:rsidR="0043143D">
        <w:rPr>
          <w:color w:val="000000"/>
        </w:rPr>
        <w:t xml:space="preserve">sequence </w:t>
      </w:r>
      <w:r w:rsidR="0043143D" w:rsidRPr="00187F57">
        <w:rPr>
          <w:color w:val="000000"/>
        </w:rPr>
        <w:t xml:space="preserve">reads, quality values, read identifiers, alignment information, and </w:t>
      </w:r>
      <w:r w:rsidR="0043143D">
        <w:rPr>
          <w:color w:val="000000"/>
        </w:rPr>
        <w:t>associated</w:t>
      </w:r>
      <w:r w:rsidR="0043143D" w:rsidRPr="00187F57">
        <w:rPr>
          <w:color w:val="000000"/>
        </w:rPr>
        <w:t xml:space="preserve"> metadata</w:t>
      </w:r>
      <w:r w:rsidR="0043143D">
        <w:rPr>
          <w:color w:val="000000"/>
        </w:rPr>
        <w:t>. In addition</w:t>
      </w:r>
      <w:r w:rsidR="0043143D" w:rsidRPr="00187F57">
        <w:rPr>
          <w:color w:val="000000"/>
        </w:rPr>
        <w:t>, computational complexity in terms of encoding</w:t>
      </w:r>
      <w:r w:rsidR="0043143D">
        <w:rPr>
          <w:color w:val="000000"/>
        </w:rPr>
        <w:t xml:space="preserve"> and</w:t>
      </w:r>
      <w:r w:rsidR="0043143D" w:rsidRPr="00187F57">
        <w:rPr>
          <w:color w:val="000000"/>
        </w:rPr>
        <w:t xml:space="preserve"> decoding times and memory usage was </w:t>
      </w:r>
      <w:r w:rsidR="0043143D">
        <w:rPr>
          <w:color w:val="000000"/>
        </w:rPr>
        <w:t>also assessed</w:t>
      </w:r>
      <w:r w:rsidR="0043143D" w:rsidRPr="00187F57">
        <w:rPr>
          <w:color w:val="000000"/>
        </w:rPr>
        <w:t>.</w:t>
      </w:r>
      <w:r w:rsidR="0043143D">
        <w:rPr>
          <w:color w:val="000000"/>
        </w:rPr>
        <w:t xml:space="preserve"> T</w:t>
      </w:r>
      <w:r w:rsidR="0043143D" w:rsidRPr="00187F57">
        <w:rPr>
          <w:color w:val="000000"/>
        </w:rPr>
        <w:t xml:space="preserve">he support </w:t>
      </w:r>
      <w:r w:rsidR="0043143D">
        <w:rPr>
          <w:color w:val="000000"/>
        </w:rPr>
        <w:t>of</w:t>
      </w:r>
      <w:r w:rsidR="0043143D" w:rsidRPr="00187F57">
        <w:rPr>
          <w:color w:val="000000"/>
        </w:rPr>
        <w:t xml:space="preserve"> a minimal </w:t>
      </w:r>
      <w:r w:rsidR="008F7EA3" w:rsidRPr="00187F57">
        <w:rPr>
          <w:color w:val="000000"/>
        </w:rPr>
        <w:t>functionalit</w:t>
      </w:r>
      <w:r w:rsidR="008F7EA3">
        <w:rPr>
          <w:color w:val="000000"/>
        </w:rPr>
        <w:t>y</w:t>
      </w:r>
      <w:r w:rsidR="008F7EA3" w:rsidRPr="00187F57">
        <w:rPr>
          <w:color w:val="000000"/>
        </w:rPr>
        <w:t xml:space="preserve"> </w:t>
      </w:r>
      <w:r w:rsidR="0043143D" w:rsidRPr="00187F57">
        <w:rPr>
          <w:color w:val="000000"/>
        </w:rPr>
        <w:t xml:space="preserve"> support</w:t>
      </w:r>
      <w:r w:rsidR="008F7EA3">
        <w:rPr>
          <w:color w:val="000000"/>
        </w:rPr>
        <w:t>ing</w:t>
      </w:r>
      <w:r w:rsidR="0043143D" w:rsidRPr="00187F57">
        <w:rPr>
          <w:color w:val="000000"/>
        </w:rPr>
        <w:t xml:space="preserve"> non-sequential access, extended nucleotide alphabets, encoding of additional metadata (extensibility), and </w:t>
      </w:r>
      <w:r w:rsidR="0043143D">
        <w:rPr>
          <w:color w:val="000000"/>
        </w:rPr>
        <w:t>quantized coding</w:t>
      </w:r>
      <w:r w:rsidR="0043143D" w:rsidRPr="00187F57">
        <w:rPr>
          <w:color w:val="000000"/>
        </w:rPr>
        <w:t xml:space="preserve"> of metadata</w:t>
      </w:r>
      <w:r w:rsidR="0043143D">
        <w:rPr>
          <w:color w:val="000000"/>
        </w:rPr>
        <w:t xml:space="preserve"> was also considered in ranking the received proposals</w:t>
      </w:r>
      <w:r w:rsidR="0043143D" w:rsidRPr="00187F57">
        <w:rPr>
          <w:color w:val="000000"/>
        </w:rPr>
        <w:t>.</w:t>
      </w:r>
    </w:p>
    <w:p w14:paraId="00212F64" w14:textId="2A544C4D" w:rsidR="00374F9E" w:rsidRDefault="0043143D" w:rsidP="00B55E44">
      <w:pPr>
        <w:rPr>
          <w:rFonts w:eastAsia="Times New Roman"/>
          <w:color w:val="000000"/>
        </w:rPr>
      </w:pPr>
      <w:r>
        <w:t>T</w:t>
      </w:r>
      <w:r w:rsidR="00455E61">
        <w:t xml:space="preserve">he most valuable </w:t>
      </w:r>
      <w:r w:rsidR="007F1E6C">
        <w:t xml:space="preserve">technologies </w:t>
      </w:r>
      <w:r w:rsidR="00455E61">
        <w:t>were integrated in the standard</w:t>
      </w:r>
      <w:r w:rsidR="00887DF3">
        <w:t xml:space="preserve"> to provide the following</w:t>
      </w:r>
      <w:r w:rsidR="00187F57" w:rsidRPr="00E551C2">
        <w:t xml:space="preserve"> three </w:t>
      </w:r>
      <w:r w:rsidR="00327830">
        <w:t>class</w:t>
      </w:r>
      <w:r w:rsidR="00951395">
        <w:t>es</w:t>
      </w:r>
      <w:r w:rsidR="00327830">
        <w:t xml:space="preserve"> of functionality</w:t>
      </w:r>
      <w:r w:rsidR="00187F57" w:rsidRPr="00E551C2">
        <w:t xml:space="preserve">: </w:t>
      </w:r>
      <w:r w:rsidR="005C52C2">
        <w:t>1</w:t>
      </w:r>
      <w:r w:rsidR="00187F57" w:rsidRPr="00E551C2">
        <w:t xml:space="preserve">) the compression of genomic data generated by sequencing processes, </w:t>
      </w:r>
      <w:r w:rsidR="005C52C2">
        <w:t>2</w:t>
      </w:r>
      <w:r w:rsidR="00187F57" w:rsidRPr="00E551C2">
        <w:t xml:space="preserve">) the compression of genomic data </w:t>
      </w:r>
      <w:r w:rsidR="00327830">
        <w:t>associated to</w:t>
      </w:r>
      <w:r w:rsidR="00187F57" w:rsidRPr="00E551C2">
        <w:t xml:space="preserve"> alignment </w:t>
      </w:r>
      <w:r w:rsidR="00327830">
        <w:t>information</w:t>
      </w:r>
      <w:r w:rsidR="00187F57" w:rsidRPr="00E551C2">
        <w:t xml:space="preserve">, </w:t>
      </w:r>
      <w:r w:rsidR="005C52C2">
        <w:t>3</w:t>
      </w:r>
      <w:r w:rsidR="00187F57" w:rsidRPr="00E551C2">
        <w:t xml:space="preserve">) the definition of a Genomic Information Transport Layer that </w:t>
      </w:r>
      <w:r w:rsidR="00327830">
        <w:t>supports</w:t>
      </w:r>
      <w:r w:rsidR="00187F57" w:rsidRPr="00E551C2">
        <w:t xml:space="preserve"> </w:t>
      </w:r>
      <w:r w:rsidR="00327830">
        <w:t>storage and transport functionality</w:t>
      </w:r>
      <w:r w:rsidR="00187F57" w:rsidRPr="00E551C2">
        <w:t>.</w:t>
      </w:r>
    </w:p>
    <w:p w14:paraId="2D60ED5B" w14:textId="77777777" w:rsidR="007E6592" w:rsidRDefault="007E6592" w:rsidP="007E6592">
      <w:pPr>
        <w:pStyle w:val="Heading1"/>
      </w:pPr>
      <w:r>
        <w:t>MPEG-G compression performance</w:t>
      </w:r>
    </w:p>
    <w:p w14:paraId="7A7E88DB" w14:textId="46003ECD" w:rsidR="007E6592" w:rsidRDefault="007E6592" w:rsidP="007E6592">
      <w:pPr>
        <w:rPr>
          <w:rFonts w:eastAsia="Times New Roman"/>
          <w:color w:val="000000"/>
        </w:rPr>
      </w:pPr>
      <w:r>
        <w:rPr>
          <w:rFonts w:eastAsia="Times New Roman"/>
          <w:color w:val="000000"/>
        </w:rPr>
        <w:t xml:space="preserve">During the Core Experiments phase the best-performing technologies according to the results of the Call for Proposals were </w:t>
      </w:r>
      <w:r w:rsidR="00F53562">
        <w:rPr>
          <w:rFonts w:eastAsia="Times New Roman"/>
          <w:color w:val="000000"/>
        </w:rPr>
        <w:t xml:space="preserve">selected for </w:t>
      </w:r>
      <w:r>
        <w:rPr>
          <w:rFonts w:eastAsia="Times New Roman"/>
          <w:color w:val="000000"/>
        </w:rPr>
        <w:t>integrat</w:t>
      </w:r>
      <w:r w:rsidR="00F53562">
        <w:rPr>
          <w:rFonts w:eastAsia="Times New Roman"/>
          <w:color w:val="000000"/>
        </w:rPr>
        <w:t>ion</w:t>
      </w:r>
      <w:r>
        <w:rPr>
          <w:rFonts w:eastAsia="Times New Roman"/>
          <w:color w:val="000000"/>
        </w:rPr>
        <w:t xml:space="preserve"> into the MPEG-G standard specification. </w:t>
      </w:r>
      <w:r w:rsidR="00173952">
        <w:rPr>
          <w:rFonts w:eastAsia="Times New Roman"/>
          <w:color w:val="000000"/>
        </w:rPr>
        <w:t>The approach taken in defining the components that are normative</w:t>
      </w:r>
      <w:r w:rsidR="007304D3">
        <w:rPr>
          <w:rFonts w:eastAsia="Times New Roman"/>
          <w:color w:val="000000"/>
        </w:rPr>
        <w:t xml:space="preserve"> – </w:t>
      </w:r>
      <w:r w:rsidR="00173952">
        <w:rPr>
          <w:rFonts w:eastAsia="Times New Roman"/>
          <w:color w:val="000000"/>
        </w:rPr>
        <w:t>and thus guarantee the interoperability of application</w:t>
      </w:r>
      <w:r w:rsidR="007304D3">
        <w:rPr>
          <w:rFonts w:eastAsia="Times New Roman"/>
          <w:color w:val="000000"/>
        </w:rPr>
        <w:t xml:space="preserve">s – </w:t>
      </w:r>
      <w:r w:rsidR="00173952">
        <w:rPr>
          <w:rFonts w:eastAsia="Times New Roman"/>
          <w:color w:val="000000"/>
        </w:rPr>
        <w:t xml:space="preserve">and the components </w:t>
      </w:r>
      <w:r w:rsidR="00026EB4">
        <w:rPr>
          <w:rFonts w:eastAsia="Times New Roman"/>
          <w:color w:val="000000"/>
        </w:rPr>
        <w:t xml:space="preserve">that have </w:t>
      </w:r>
      <w:r w:rsidR="00D86CFF">
        <w:rPr>
          <w:rFonts w:eastAsia="Times New Roman"/>
          <w:color w:val="000000"/>
        </w:rPr>
        <w:t>been</w:t>
      </w:r>
      <w:r w:rsidR="00173952">
        <w:rPr>
          <w:rFonts w:eastAsia="Times New Roman"/>
          <w:color w:val="000000"/>
        </w:rPr>
        <w:t xml:space="preserve"> left open to competitive innovations and optimizations, is the same </w:t>
      </w:r>
      <w:r w:rsidR="007304D3">
        <w:rPr>
          <w:rFonts w:eastAsia="Times New Roman"/>
          <w:color w:val="000000"/>
        </w:rPr>
        <w:t xml:space="preserve">as </w:t>
      </w:r>
      <w:r w:rsidR="00173952">
        <w:rPr>
          <w:rFonts w:eastAsia="Times New Roman"/>
          <w:color w:val="000000"/>
        </w:rPr>
        <w:t>taken by the most successful MPEG standards</w:t>
      </w:r>
      <w:r w:rsidR="00026EB4">
        <w:rPr>
          <w:rFonts w:eastAsia="Times New Roman"/>
          <w:color w:val="000000"/>
        </w:rPr>
        <w:t xml:space="preserve"> in </w:t>
      </w:r>
      <w:r w:rsidR="00D86CFF">
        <w:rPr>
          <w:rFonts w:eastAsia="Times New Roman"/>
          <w:color w:val="000000"/>
        </w:rPr>
        <w:t xml:space="preserve">the </w:t>
      </w:r>
      <w:r w:rsidR="00026EB4">
        <w:rPr>
          <w:rFonts w:eastAsia="Times New Roman"/>
          <w:color w:val="000000"/>
        </w:rPr>
        <w:t>audio-video field</w:t>
      </w:r>
      <w:r w:rsidR="007304D3">
        <w:rPr>
          <w:rFonts w:eastAsia="Times New Roman"/>
          <w:color w:val="000000"/>
        </w:rPr>
        <w:t> </w:t>
      </w:r>
      <w:r w:rsidR="007304D3">
        <w:rPr>
          <w:rFonts w:eastAsia="Times New Roman"/>
          <w:color w:val="000000"/>
        </w:rPr>
        <w:fldChar w:fldCharType="begin" w:fldLock="1"/>
      </w:r>
      <w:r w:rsidR="007304D3">
        <w:rPr>
          <w:rFonts w:eastAsia="Times New Roman"/>
          <w:color w:val="000000"/>
        </w:rPr>
        <w:instrText>ADDIN CSL_CITATION { "citationItems" : [ { "id" : "ITEM-1", "itemData" : { "DOI" : "10.1007/978-1-4419-6184-6", "ISBN" : "978-1-4419-6183-9", "edition" : "1", "editor" : [ { "dropping-particle" : "", "family" : "Chiariglione", "given" : "Leonardo", "non-dropping-particle" : "", "parse-names" : false, "suffix" : "" } ], "id" : "ITEM-1", "issued" : { "date-parts" : [ [ "2012" ] ] }, "publisher" : "Springer New York", "title" : "The MPEG Representation of Digital Media", "type" : "book" }, "uris" : [ "http://www.mendeley.com/documents/?uuid=bf70a0e3-a34d-36d2-8f93-3b35a4d4ada1" ] } ], "mendeley" : { "formattedCitation" : "[6]", "plainTextFormattedCitation" : "[6]", "previouslyFormattedCitation" : "[6]" }, "properties" : {  }, "schema" : "https://github.com/citation-style-language/schema/raw/master/csl-citation.json" }</w:instrText>
      </w:r>
      <w:r w:rsidR="007304D3">
        <w:rPr>
          <w:rFonts w:eastAsia="Times New Roman"/>
          <w:color w:val="000000"/>
        </w:rPr>
        <w:fldChar w:fldCharType="separate"/>
      </w:r>
      <w:r w:rsidR="007304D3" w:rsidRPr="007304D3">
        <w:rPr>
          <w:rFonts w:eastAsia="Times New Roman"/>
          <w:noProof/>
          <w:color w:val="000000"/>
        </w:rPr>
        <w:t>[6]</w:t>
      </w:r>
      <w:r w:rsidR="007304D3">
        <w:rPr>
          <w:rFonts w:eastAsia="Times New Roman"/>
          <w:color w:val="000000"/>
        </w:rPr>
        <w:fldChar w:fldCharType="end"/>
      </w:r>
      <w:r w:rsidR="00D86CFF">
        <w:rPr>
          <w:rFonts w:eastAsia="Times New Roman"/>
          <w:color w:val="000000"/>
        </w:rPr>
        <w:t>. More precisely,</w:t>
      </w:r>
      <w:r w:rsidR="00173952">
        <w:rPr>
          <w:rFonts w:eastAsia="Times New Roman"/>
          <w:color w:val="000000"/>
        </w:rPr>
        <w:t xml:space="preserve"> only the syntax and </w:t>
      </w:r>
      <w:r w:rsidR="00D40749">
        <w:rPr>
          <w:rFonts w:eastAsia="Times New Roman"/>
          <w:color w:val="000000"/>
        </w:rPr>
        <w:t xml:space="preserve">the </w:t>
      </w:r>
      <w:r w:rsidR="00173952">
        <w:rPr>
          <w:rFonts w:eastAsia="Times New Roman"/>
          <w:color w:val="000000"/>
        </w:rPr>
        <w:t>se</w:t>
      </w:r>
      <w:r w:rsidR="00D40749">
        <w:rPr>
          <w:rFonts w:eastAsia="Times New Roman"/>
          <w:color w:val="000000"/>
        </w:rPr>
        <w:t>ma</w:t>
      </w:r>
      <w:r w:rsidR="007304D3">
        <w:rPr>
          <w:rFonts w:eastAsia="Times New Roman"/>
          <w:color w:val="000000"/>
        </w:rPr>
        <w:t>n</w:t>
      </w:r>
      <w:r w:rsidR="00D40749">
        <w:rPr>
          <w:rFonts w:eastAsia="Times New Roman"/>
          <w:color w:val="000000"/>
        </w:rPr>
        <w:t>tic</w:t>
      </w:r>
      <w:r w:rsidR="007304D3">
        <w:rPr>
          <w:rFonts w:eastAsia="Times New Roman"/>
          <w:color w:val="000000"/>
        </w:rPr>
        <w:t>s</w:t>
      </w:r>
      <w:r w:rsidR="00D40749">
        <w:rPr>
          <w:rFonts w:eastAsia="Times New Roman"/>
          <w:color w:val="000000"/>
        </w:rPr>
        <w:t xml:space="preserve"> of the decoding process are</w:t>
      </w:r>
      <w:r w:rsidR="00173952">
        <w:rPr>
          <w:rFonts w:eastAsia="Times New Roman"/>
          <w:color w:val="000000"/>
        </w:rPr>
        <w:t xml:space="preserve"> normative </w:t>
      </w:r>
      <w:r w:rsidR="00026EB4">
        <w:rPr>
          <w:rFonts w:eastAsia="Times New Roman"/>
          <w:color w:val="000000"/>
        </w:rPr>
        <w:t>and fully specified</w:t>
      </w:r>
      <w:r w:rsidR="00D86CFF">
        <w:rPr>
          <w:rFonts w:eastAsia="Times New Roman"/>
          <w:color w:val="000000"/>
        </w:rPr>
        <w:t>,</w:t>
      </w:r>
      <w:r w:rsidR="00026EB4">
        <w:rPr>
          <w:rFonts w:eastAsia="Times New Roman"/>
          <w:color w:val="000000"/>
        </w:rPr>
        <w:t xml:space="preserve"> </w:t>
      </w:r>
      <w:r w:rsidR="00173952">
        <w:rPr>
          <w:rFonts w:eastAsia="Times New Roman"/>
          <w:color w:val="000000"/>
        </w:rPr>
        <w:t>where</w:t>
      </w:r>
      <w:r w:rsidR="00026EB4">
        <w:rPr>
          <w:rFonts w:eastAsia="Times New Roman"/>
          <w:color w:val="000000"/>
        </w:rPr>
        <w:t>as the encoding process is left</w:t>
      </w:r>
      <w:r w:rsidR="00173952">
        <w:rPr>
          <w:rFonts w:eastAsia="Times New Roman"/>
          <w:color w:val="000000"/>
        </w:rPr>
        <w:t xml:space="preserve"> open to </w:t>
      </w:r>
      <w:r w:rsidR="00026EB4">
        <w:rPr>
          <w:rFonts w:eastAsia="Times New Roman"/>
          <w:color w:val="000000"/>
        </w:rPr>
        <w:t>algorithmic and implementation</w:t>
      </w:r>
      <w:r w:rsidR="007304D3">
        <w:rPr>
          <w:rFonts w:eastAsia="Times New Roman"/>
          <w:color w:val="000000"/>
        </w:rPr>
        <w:t>-</w:t>
      </w:r>
      <w:r w:rsidR="00026EB4">
        <w:rPr>
          <w:rFonts w:eastAsia="Times New Roman"/>
          <w:color w:val="000000"/>
        </w:rPr>
        <w:t>s</w:t>
      </w:r>
      <w:r w:rsidR="007304D3">
        <w:rPr>
          <w:rFonts w:eastAsia="Times New Roman"/>
          <w:color w:val="000000"/>
        </w:rPr>
        <w:t>pecific</w:t>
      </w:r>
      <w:r w:rsidR="00026EB4">
        <w:rPr>
          <w:rFonts w:eastAsia="Times New Roman"/>
          <w:color w:val="000000"/>
        </w:rPr>
        <w:t xml:space="preserve"> innovations</w:t>
      </w:r>
      <w:r w:rsidR="007304D3">
        <w:rPr>
          <w:rFonts w:eastAsia="Times New Roman"/>
          <w:color w:val="000000"/>
        </w:rPr>
        <w:t>, as well as to</w:t>
      </w:r>
      <w:r w:rsidR="00026EB4">
        <w:rPr>
          <w:rFonts w:eastAsia="Times New Roman"/>
          <w:color w:val="000000"/>
        </w:rPr>
        <w:t xml:space="preserve"> </w:t>
      </w:r>
      <w:r w:rsidR="000B21FB">
        <w:rPr>
          <w:rFonts w:eastAsia="Times New Roman"/>
          <w:color w:val="000000"/>
        </w:rPr>
        <w:t xml:space="preserve">coding </w:t>
      </w:r>
      <w:r w:rsidR="00026EB4">
        <w:rPr>
          <w:rFonts w:eastAsia="Times New Roman"/>
          <w:color w:val="000000"/>
        </w:rPr>
        <w:t xml:space="preserve">optimizations. </w:t>
      </w:r>
      <w:r w:rsidR="007304D3">
        <w:rPr>
          <w:rFonts w:eastAsia="Times New Roman"/>
          <w:color w:val="000000"/>
        </w:rPr>
        <w:t>S</w:t>
      </w:r>
      <w:r w:rsidR="00460339">
        <w:rPr>
          <w:rFonts w:eastAsia="Times New Roman"/>
          <w:color w:val="000000"/>
        </w:rPr>
        <w:t xml:space="preserve">equencing data and </w:t>
      </w:r>
      <w:r w:rsidR="007304D3">
        <w:rPr>
          <w:rFonts w:eastAsia="Times New Roman"/>
          <w:color w:val="000000"/>
        </w:rPr>
        <w:t xml:space="preserve">associated </w:t>
      </w:r>
      <w:r w:rsidR="00460339">
        <w:rPr>
          <w:rFonts w:eastAsia="Times New Roman"/>
          <w:color w:val="000000"/>
        </w:rPr>
        <w:t xml:space="preserve">metadata </w:t>
      </w:r>
      <w:r w:rsidR="007304D3">
        <w:rPr>
          <w:rFonts w:eastAsia="Times New Roman"/>
          <w:color w:val="000000"/>
        </w:rPr>
        <w:t xml:space="preserve">are </w:t>
      </w:r>
      <w:r w:rsidR="00D40749">
        <w:rPr>
          <w:rFonts w:eastAsia="Times New Roman"/>
          <w:color w:val="000000"/>
        </w:rPr>
        <w:t xml:space="preserve">sets of heterogeneous data </w:t>
      </w:r>
      <w:r w:rsidR="00FF4472">
        <w:rPr>
          <w:rFonts w:eastAsia="Times New Roman"/>
          <w:color w:val="000000"/>
        </w:rPr>
        <w:t xml:space="preserve">possibly </w:t>
      </w:r>
      <w:r w:rsidR="00D40749">
        <w:rPr>
          <w:rFonts w:eastAsia="Times New Roman"/>
          <w:color w:val="000000"/>
        </w:rPr>
        <w:t>characterized by highly variable statistical behaviors</w:t>
      </w:r>
      <w:r w:rsidR="00FF4472">
        <w:rPr>
          <w:rFonts w:eastAsia="Times New Roman"/>
          <w:color w:val="000000"/>
        </w:rPr>
        <w:t>,</w:t>
      </w:r>
      <w:r w:rsidR="00D40749">
        <w:rPr>
          <w:rFonts w:eastAsia="Times New Roman"/>
          <w:color w:val="000000"/>
        </w:rPr>
        <w:t xml:space="preserve"> </w:t>
      </w:r>
      <w:r w:rsidR="007304D3">
        <w:rPr>
          <w:rFonts w:eastAsia="Times New Roman"/>
          <w:color w:val="000000"/>
        </w:rPr>
        <w:t xml:space="preserve">and thus </w:t>
      </w:r>
      <w:r w:rsidR="00D40749">
        <w:rPr>
          <w:rFonts w:eastAsia="Times New Roman"/>
          <w:color w:val="000000"/>
        </w:rPr>
        <w:t xml:space="preserve">several strategies for </w:t>
      </w:r>
      <w:r w:rsidR="007304D3">
        <w:rPr>
          <w:rFonts w:eastAsia="Times New Roman"/>
          <w:color w:val="000000"/>
        </w:rPr>
        <w:t xml:space="preserve">its </w:t>
      </w:r>
      <w:r w:rsidR="00D40749">
        <w:rPr>
          <w:rFonts w:eastAsia="Times New Roman"/>
          <w:color w:val="000000"/>
        </w:rPr>
        <w:t>classification and representation</w:t>
      </w:r>
      <w:r w:rsidR="00FF4472">
        <w:rPr>
          <w:rFonts w:eastAsia="Times New Roman"/>
          <w:color w:val="000000"/>
        </w:rPr>
        <w:t xml:space="preserve"> can be used</w:t>
      </w:r>
      <w:r w:rsidR="00D40749">
        <w:rPr>
          <w:rFonts w:eastAsia="Times New Roman"/>
          <w:color w:val="000000"/>
        </w:rPr>
        <w:t xml:space="preserve">. Therefore, the optimization space for compression performance and selective data access is very large and admits many different solutions. </w:t>
      </w:r>
      <w:r>
        <w:rPr>
          <w:rFonts w:eastAsia="Times New Roman"/>
          <w:color w:val="000000"/>
        </w:rPr>
        <w:t xml:space="preserve">An example of </w:t>
      </w:r>
      <w:r w:rsidR="000B21FB">
        <w:rPr>
          <w:rFonts w:eastAsia="Times New Roman"/>
          <w:color w:val="000000"/>
        </w:rPr>
        <w:t xml:space="preserve">the </w:t>
      </w:r>
      <w:r>
        <w:rPr>
          <w:rFonts w:eastAsia="Times New Roman"/>
          <w:color w:val="000000"/>
        </w:rPr>
        <w:t xml:space="preserve">compression performance of </w:t>
      </w:r>
      <w:r w:rsidR="00D40749">
        <w:rPr>
          <w:rFonts w:eastAsia="Times New Roman"/>
          <w:color w:val="000000"/>
        </w:rPr>
        <w:t>a straightforward application of the</w:t>
      </w:r>
      <w:r>
        <w:rPr>
          <w:rFonts w:eastAsia="Times New Roman"/>
          <w:color w:val="000000"/>
        </w:rPr>
        <w:t xml:space="preserve"> standard MPEG-G technology is shown in </w:t>
      </w:r>
      <w:r w:rsidR="00992652">
        <w:rPr>
          <w:rFonts w:eastAsia="Times New Roman"/>
          <w:color w:val="000000"/>
        </w:rPr>
        <w:fldChar w:fldCharType="begin"/>
      </w:r>
      <w:r w:rsidR="00992652">
        <w:rPr>
          <w:rFonts w:eastAsia="Times New Roman"/>
          <w:color w:val="000000"/>
        </w:rPr>
        <w:instrText xml:space="preserve"> REF _Ref505588456 \h </w:instrText>
      </w:r>
      <w:r w:rsidR="00992652">
        <w:rPr>
          <w:rFonts w:eastAsia="Times New Roman"/>
          <w:color w:val="000000"/>
        </w:rPr>
      </w:r>
      <w:r w:rsidR="00992652">
        <w:rPr>
          <w:rFonts w:eastAsia="Times New Roman"/>
          <w:color w:val="000000"/>
        </w:rPr>
        <w:fldChar w:fldCharType="separate"/>
      </w:r>
      <w:r w:rsidR="00B65068">
        <w:t xml:space="preserve">Figure </w:t>
      </w:r>
      <w:r w:rsidR="00B65068">
        <w:rPr>
          <w:noProof/>
        </w:rPr>
        <w:t>1</w:t>
      </w:r>
      <w:r w:rsidR="00992652">
        <w:rPr>
          <w:rFonts w:eastAsia="Times New Roman"/>
          <w:color w:val="000000"/>
        </w:rPr>
        <w:fldChar w:fldCharType="end"/>
      </w:r>
      <w:r w:rsidR="00992652">
        <w:rPr>
          <w:rFonts w:eastAsia="Times New Roman"/>
          <w:color w:val="000000"/>
        </w:rPr>
        <w:t xml:space="preserve"> </w:t>
      </w:r>
      <w:r>
        <w:rPr>
          <w:rFonts w:eastAsia="Times New Roman"/>
          <w:color w:val="000000"/>
        </w:rPr>
        <w:t xml:space="preserve">for a dataset composed of aligned, high-coverage human whole genome sequencing (WGS) data, and in </w:t>
      </w:r>
      <w:r w:rsidR="00B65068">
        <w:rPr>
          <w:rFonts w:eastAsia="Times New Roman"/>
          <w:color w:val="000000"/>
        </w:rPr>
        <w:fldChar w:fldCharType="begin"/>
      </w:r>
      <w:r w:rsidR="00B65068">
        <w:rPr>
          <w:rFonts w:eastAsia="Times New Roman"/>
          <w:color w:val="000000"/>
        </w:rPr>
        <w:instrText xml:space="preserve"> REF _Ref505588489 \h </w:instrText>
      </w:r>
      <w:r w:rsidR="00B65068">
        <w:rPr>
          <w:rFonts w:eastAsia="Times New Roman"/>
          <w:color w:val="000000"/>
        </w:rPr>
      </w:r>
      <w:r w:rsidR="00B65068">
        <w:rPr>
          <w:rFonts w:eastAsia="Times New Roman"/>
          <w:color w:val="000000"/>
        </w:rPr>
        <w:fldChar w:fldCharType="separate"/>
      </w:r>
      <w:r w:rsidR="00B65068">
        <w:t xml:space="preserve">Figure </w:t>
      </w:r>
      <w:r w:rsidR="00B65068">
        <w:rPr>
          <w:noProof/>
        </w:rPr>
        <w:t>2</w:t>
      </w:r>
      <w:r w:rsidR="00B65068">
        <w:rPr>
          <w:rFonts w:eastAsia="Times New Roman"/>
          <w:color w:val="000000"/>
        </w:rPr>
        <w:fldChar w:fldCharType="end"/>
      </w:r>
      <w:r w:rsidR="00B65068">
        <w:rPr>
          <w:rFonts w:eastAsia="Times New Roman"/>
          <w:color w:val="000000"/>
        </w:rPr>
        <w:t xml:space="preserve"> </w:t>
      </w:r>
      <w:r>
        <w:rPr>
          <w:rFonts w:eastAsia="Times New Roman"/>
          <w:color w:val="000000"/>
        </w:rPr>
        <w:t>for a dataset of aligned, low-coverage human WGS data.</w:t>
      </w:r>
      <w:r w:rsidR="000B21FB">
        <w:rPr>
          <w:rFonts w:eastAsia="Times New Roman"/>
          <w:color w:val="000000"/>
        </w:rPr>
        <w:t xml:space="preserve"> </w:t>
      </w:r>
      <w:r w:rsidR="007304D3">
        <w:rPr>
          <w:rFonts w:eastAsia="Times New Roman"/>
          <w:color w:val="000000"/>
        </w:rPr>
        <w:t>Considering</w:t>
      </w:r>
      <w:r w:rsidR="000B21FB">
        <w:rPr>
          <w:rFonts w:eastAsia="Times New Roman"/>
          <w:color w:val="000000"/>
        </w:rPr>
        <w:t xml:space="preserve"> what </w:t>
      </w:r>
      <w:r w:rsidR="007304D3">
        <w:rPr>
          <w:rFonts w:eastAsia="Times New Roman"/>
          <w:color w:val="000000"/>
        </w:rPr>
        <w:t xml:space="preserve">has been </w:t>
      </w:r>
      <w:r w:rsidR="000B21FB">
        <w:rPr>
          <w:rFonts w:eastAsia="Times New Roman"/>
          <w:color w:val="000000"/>
        </w:rPr>
        <w:t>discussed above</w:t>
      </w:r>
      <w:r w:rsidR="007304D3">
        <w:rPr>
          <w:rFonts w:eastAsia="Times New Roman"/>
          <w:color w:val="000000"/>
        </w:rPr>
        <w:t>,</w:t>
      </w:r>
      <w:r w:rsidR="000B21FB">
        <w:rPr>
          <w:rFonts w:eastAsia="Times New Roman"/>
          <w:color w:val="000000"/>
        </w:rPr>
        <w:t xml:space="preserve"> it </w:t>
      </w:r>
      <w:r w:rsidR="007304D3">
        <w:rPr>
          <w:rFonts w:eastAsia="Times New Roman"/>
          <w:color w:val="000000"/>
        </w:rPr>
        <w:t>must</w:t>
      </w:r>
      <w:r w:rsidR="000B21FB">
        <w:rPr>
          <w:rFonts w:eastAsia="Times New Roman"/>
          <w:color w:val="000000"/>
        </w:rPr>
        <w:t xml:space="preserve"> be underlined that this is only an example of possible performance</w:t>
      </w:r>
      <w:r w:rsidR="007304D3">
        <w:rPr>
          <w:rFonts w:eastAsia="Times New Roman"/>
          <w:color w:val="000000"/>
        </w:rPr>
        <w:t>.</w:t>
      </w:r>
      <w:r w:rsidR="000B21FB">
        <w:rPr>
          <w:rFonts w:eastAsia="Times New Roman"/>
          <w:color w:val="000000"/>
        </w:rPr>
        <w:t xml:space="preserve"> </w:t>
      </w:r>
      <w:r w:rsidR="007304D3">
        <w:rPr>
          <w:rFonts w:eastAsia="Times New Roman"/>
          <w:color w:val="000000"/>
        </w:rPr>
        <w:t>E</w:t>
      </w:r>
      <w:r w:rsidR="000B21FB">
        <w:rPr>
          <w:rFonts w:eastAsia="Times New Roman"/>
          <w:color w:val="000000"/>
        </w:rPr>
        <w:t>ncoders employing other classification and optimization strategies c</w:t>
      </w:r>
      <w:r w:rsidR="007304D3">
        <w:rPr>
          <w:rFonts w:eastAsia="Times New Roman"/>
          <w:color w:val="000000"/>
        </w:rPr>
        <w:t>ould</w:t>
      </w:r>
      <w:r w:rsidR="000B21FB">
        <w:rPr>
          <w:rFonts w:eastAsia="Times New Roman"/>
          <w:color w:val="000000"/>
        </w:rPr>
        <w:t xml:space="preserve"> easily achieve much better performance results.</w:t>
      </w:r>
    </w:p>
    <w:p w14:paraId="635540BA" w14:textId="77777777" w:rsidR="007E6592" w:rsidRDefault="007E6592" w:rsidP="007E6592">
      <w:pPr>
        <w:rPr>
          <w:rFonts w:eastAsia="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604"/>
      </w:tblGrid>
      <w:tr w:rsidR="000F536F" w14:paraId="7C5DF0D4" w14:textId="77777777" w:rsidTr="0066642A">
        <w:tc>
          <w:tcPr>
            <w:tcW w:w="4926" w:type="dxa"/>
          </w:tcPr>
          <w:p w14:paraId="58A1137C" w14:textId="3986DB2F" w:rsidR="007E6592" w:rsidRDefault="000F536F" w:rsidP="002B2B44">
            <w:pPr>
              <w:keepNext/>
            </w:pPr>
            <w:r>
              <w:rPr>
                <w:noProof/>
                <w:lang w:val="fr-CH" w:eastAsia="fr-CH"/>
              </w:rPr>
              <w:drawing>
                <wp:inline distT="0" distB="0" distL="0" distR="0" wp14:anchorId="05936335" wp14:editId="611F8193">
                  <wp:extent cx="2932430" cy="2335600"/>
                  <wp:effectExtent l="0" t="0" r="127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g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3331" cy="2376141"/>
                          </a:xfrm>
                          <a:prstGeom prst="rect">
                            <a:avLst/>
                          </a:prstGeom>
                        </pic:spPr>
                      </pic:pic>
                    </a:graphicData>
                  </a:graphic>
                </wp:inline>
              </w:drawing>
            </w:r>
          </w:p>
          <w:p w14:paraId="367555D0" w14:textId="7803030A" w:rsidR="007E6592" w:rsidRDefault="007E6592" w:rsidP="002B2B44">
            <w:pPr>
              <w:pStyle w:val="Caption"/>
              <w:rPr>
                <w:rFonts w:eastAsia="Times New Roman"/>
                <w:color w:val="000000"/>
              </w:rPr>
            </w:pPr>
            <w:bookmarkStart w:id="0" w:name="_Ref505588456"/>
            <w:r>
              <w:t xml:space="preserve">Figure </w:t>
            </w:r>
            <w:r w:rsidR="00772E4E">
              <w:fldChar w:fldCharType="begin"/>
            </w:r>
            <w:r w:rsidR="00772E4E">
              <w:instrText xml:space="preserve"> SEQ Figure \* ARABIC </w:instrText>
            </w:r>
            <w:r w:rsidR="00772E4E">
              <w:fldChar w:fldCharType="separate"/>
            </w:r>
            <w:r w:rsidR="00B65068">
              <w:rPr>
                <w:noProof/>
              </w:rPr>
              <w:t>1</w:t>
            </w:r>
            <w:r w:rsidR="00772E4E">
              <w:rPr>
                <w:noProof/>
              </w:rPr>
              <w:fldChar w:fldCharType="end"/>
            </w:r>
            <w:bookmarkEnd w:id="0"/>
            <w:r>
              <w:t xml:space="preserve">: Compression performance of MPEG-G on high-coverage </w:t>
            </w:r>
            <w:r w:rsidR="00173952">
              <w:t xml:space="preserve">sequencing </w:t>
            </w:r>
            <w:r>
              <w:t>data</w:t>
            </w:r>
            <w:r w:rsidR="00173952">
              <w:t xml:space="preserve"> and metadata</w:t>
            </w:r>
            <w:r>
              <w:t>.</w:t>
            </w:r>
          </w:p>
        </w:tc>
        <w:tc>
          <w:tcPr>
            <w:tcW w:w="4419" w:type="dxa"/>
          </w:tcPr>
          <w:p w14:paraId="4E69D744" w14:textId="4A07EBDC" w:rsidR="007E6592" w:rsidRDefault="000F536F" w:rsidP="002B2B44">
            <w:pPr>
              <w:keepNext/>
            </w:pPr>
            <w:r>
              <w:rPr>
                <w:noProof/>
                <w:lang w:val="fr-CH" w:eastAsia="fr-CH"/>
              </w:rPr>
              <w:drawing>
                <wp:inline distT="0" distB="0" distL="0" distR="0" wp14:anchorId="2CF03974" wp14:editId="74824E7C">
                  <wp:extent cx="2831170" cy="2349374"/>
                  <wp:effectExtent l="0" t="0" r="762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8838" cy="2413825"/>
                          </a:xfrm>
                          <a:prstGeom prst="rect">
                            <a:avLst/>
                          </a:prstGeom>
                        </pic:spPr>
                      </pic:pic>
                    </a:graphicData>
                  </a:graphic>
                </wp:inline>
              </w:drawing>
            </w:r>
          </w:p>
          <w:p w14:paraId="4D742937" w14:textId="694C51FC" w:rsidR="007E6592" w:rsidRDefault="007E6592" w:rsidP="002B2B44">
            <w:pPr>
              <w:pStyle w:val="Caption"/>
              <w:rPr>
                <w:rFonts w:eastAsia="Times New Roman"/>
                <w:color w:val="000000"/>
              </w:rPr>
            </w:pPr>
            <w:bookmarkStart w:id="1" w:name="_Ref505588489"/>
            <w:r>
              <w:t xml:space="preserve">Figure </w:t>
            </w:r>
            <w:r w:rsidR="00772E4E">
              <w:fldChar w:fldCharType="begin"/>
            </w:r>
            <w:r w:rsidR="00772E4E">
              <w:instrText xml:space="preserve"> SEQ Figure \* ARABIC </w:instrText>
            </w:r>
            <w:r w:rsidR="00772E4E">
              <w:fldChar w:fldCharType="separate"/>
            </w:r>
            <w:r w:rsidR="00B65068">
              <w:rPr>
                <w:noProof/>
              </w:rPr>
              <w:t>2</w:t>
            </w:r>
            <w:r w:rsidR="00772E4E">
              <w:rPr>
                <w:noProof/>
              </w:rPr>
              <w:fldChar w:fldCharType="end"/>
            </w:r>
            <w:bookmarkEnd w:id="1"/>
            <w:r>
              <w:t xml:space="preserve">: Compression performance of MPEG-G on low-coverage </w:t>
            </w:r>
            <w:r w:rsidR="00173952">
              <w:t xml:space="preserve">sequencing </w:t>
            </w:r>
            <w:r>
              <w:t>data</w:t>
            </w:r>
            <w:r w:rsidR="00173952">
              <w:t xml:space="preserve"> and metadata</w:t>
            </w:r>
            <w:r>
              <w:t>.</w:t>
            </w:r>
          </w:p>
        </w:tc>
      </w:tr>
    </w:tbl>
    <w:p w14:paraId="24AD74A7" w14:textId="5465C11B" w:rsidR="007E6592" w:rsidRPr="00AF56A9" w:rsidRDefault="007E6592" w:rsidP="00B55E44">
      <w:r>
        <w:rPr>
          <w:rFonts w:eastAsia="Times New Roman"/>
          <w:color w:val="000000"/>
        </w:rPr>
        <w:t>Both graphs report the size of aligned sequencing read</w:t>
      </w:r>
      <w:r w:rsidR="000D4CBD">
        <w:rPr>
          <w:rFonts w:eastAsia="Times New Roman"/>
          <w:color w:val="000000"/>
        </w:rPr>
        <w:t>s</w:t>
      </w:r>
      <w:r>
        <w:rPr>
          <w:rFonts w:eastAsia="Times New Roman"/>
          <w:color w:val="000000"/>
        </w:rPr>
        <w:t xml:space="preserve">, including read identifiers and quality values, </w:t>
      </w:r>
      <w:r w:rsidR="000D4CBD">
        <w:rPr>
          <w:rFonts w:eastAsia="Times New Roman"/>
          <w:color w:val="000000"/>
        </w:rPr>
        <w:t xml:space="preserve">on the left, </w:t>
      </w:r>
      <w:r>
        <w:rPr>
          <w:rFonts w:eastAsia="Times New Roman"/>
          <w:color w:val="000000"/>
        </w:rPr>
        <w:t>as represented in the SAM format </w:t>
      </w:r>
      <w:r>
        <w:rPr>
          <w:rFonts w:eastAsia="Times New Roman"/>
          <w:color w:val="000000"/>
        </w:rPr>
        <w:fldChar w:fldCharType="begin" w:fldLock="1"/>
      </w:r>
      <w:r w:rsidR="007304D3">
        <w:rPr>
          <w:rFonts w:eastAsia="Times New Roman"/>
          <w:color w:val="000000"/>
        </w:rPr>
        <w:instrText>ADDIN CSL_CITATION { "citationItems" : [ { "id" : "ITEM-1", "itemData" : { "DOI" : "10.1093/bioinformatics/btp352", "ISBN" : "1367-4803\\r1460-2059", "ISSN" : "1367-4811", "PMID" : "19505943", "abstract" : "SUMMARY: The Sequence Alignment/Map (SAM) format is a generic alignment format for storing read alignments against reference sequences, supporting short and long reads (up to 128 Mbp) produced by different sequencing platforms. It is flexible in style, compact in size, efficient in random access and is the format in which alignments from the 1000 Genomes Project are released. SAMtools implements various utilities for post-processing alignments in the SAM format, such as indexing, variant caller and alignment viewer, and thus provides universal tools for processing read alignments. AVAILABILITY: http://samtools.sourceforge.net.", "author" : [ { "dropping-particle" : "", "family" : "Li", "given" : "Heng", "non-dropping-particle" : "", "parse-names" : false, "suffix" : "" }, { "dropping-particle" : "", "family" : "Handsaker", "given" : "Bob", "non-dropping-particle" : "", "parse-names" : false, "suffix" : "" }, { "dropping-particle" : "", "family" : "Wysoker", "given" : "Alec", "non-dropping-particle" : "", "parse-names" : false, "suffix" : "" }, { "dropping-particle" : "", "family" : "Fennell", "given" : "Tim", "non-dropping-particle" : "", "parse-names" : false, "suffix" : "" }, { "dropping-particle" : "", "family" : "Ruan", "given" : "Jue", "non-dropping-particle" : "", "parse-names" : false, "suffix" : "" }, { "dropping-particle" : "", "family" : "Homer", "given" : "Nils", "non-dropping-particle" : "", "parse-names" : false, "suffix" : "" }, { "dropping-particle" : "", "family" : "Marth", "given" : "Gabor", "non-dropping-particle" : "", "parse-names" : false, "suffix" : "" }, { "dropping-particle" : "", "family" : "Abecasis", "given" : "Goncalo", "non-dropping-particle" : "", "parse-names" : false, "suffix" : "" }, { "dropping-particle" : "", "family" : "Durbin", "given" : "Richard", "non-dropping-particle" : "", "parse-names" : false, "suffix" : "" } ], "container-title" : "Bioinformatics", "id" : "ITEM-1", "issue" : "16", "issued" : { "date-parts" : [ [ "2009" ] ] }, "page" : "2078-2079", "title" : "The Sequence Alignment/Map format and SAMtools", "type" : "article-journal", "volume" : "25" }, "uris" : [ "http://www.mendeley.com/documents/?uuid=b35928cf-810d-4110-97e5-8d8240a17d35" ] } ], "mendeley" : { "formattedCitation" : "[7]", "plainTextFormattedCitation" : "[7]", "previouslyFormattedCitation" : "[7]" }, "properties" : {  }, "schema" : "https://github.com/citation-style-language/schema/raw/master/csl-citation.json" }</w:instrText>
      </w:r>
      <w:r>
        <w:rPr>
          <w:rFonts w:eastAsia="Times New Roman"/>
          <w:color w:val="000000"/>
        </w:rPr>
        <w:fldChar w:fldCharType="separate"/>
      </w:r>
      <w:r w:rsidR="007304D3" w:rsidRPr="007304D3">
        <w:rPr>
          <w:rFonts w:eastAsia="Times New Roman"/>
          <w:noProof/>
          <w:color w:val="000000"/>
        </w:rPr>
        <w:t>[7]</w:t>
      </w:r>
      <w:r>
        <w:rPr>
          <w:rFonts w:eastAsia="Times New Roman"/>
          <w:color w:val="000000"/>
        </w:rPr>
        <w:fldChar w:fldCharType="end"/>
      </w:r>
      <w:r>
        <w:rPr>
          <w:rFonts w:eastAsia="Times New Roman"/>
          <w:color w:val="000000"/>
        </w:rPr>
        <w:t xml:space="preserve">, in the middle the size of the corresponding BAM file and in the right the size of an MPEG-G file. In today’s common practice, </w:t>
      </w:r>
      <w:r>
        <w:rPr>
          <w:rFonts w:eastAsia="Times New Roman"/>
          <w:color w:val="000000"/>
        </w:rPr>
        <w:lastRenderedPageBreak/>
        <w:t xml:space="preserve">SAM files are often stored or transmitted in the form of BAM files, which are essentially block-wise gzipped SAM files. In these examples BAM compression provides a compression factor of about 3.58 for the high coverage dataset and a factor of about 2.26 for the low coverage dataset, respectively, over SAM. When MPEG-G compression technology is employed, the compression can further be improved with respect to BAM, by a factor of about </w:t>
      </w:r>
      <w:r w:rsidR="00E469B5">
        <w:rPr>
          <w:rFonts w:eastAsia="Times New Roman"/>
          <w:color w:val="000000"/>
        </w:rPr>
        <w:t>6</w:t>
      </w:r>
      <w:r>
        <w:rPr>
          <w:rFonts w:eastAsia="Times New Roman"/>
          <w:color w:val="000000"/>
        </w:rPr>
        <w:t>.</w:t>
      </w:r>
      <w:r w:rsidR="00E469B5">
        <w:rPr>
          <w:rFonts w:eastAsia="Times New Roman"/>
          <w:color w:val="000000"/>
        </w:rPr>
        <w:t>54</w:t>
      </w:r>
      <w:r>
        <w:rPr>
          <w:rFonts w:eastAsia="Times New Roman"/>
          <w:color w:val="000000"/>
        </w:rPr>
        <w:t xml:space="preserve"> (high coverage) and 5.31 (low coverage), respectively. With respect to the SAM representation size, the compression factors of MPEG-G are about 23.41 (high coverage) and 12.00 (low coverage).</w:t>
      </w:r>
      <w:r w:rsidR="00D86CFF">
        <w:rPr>
          <w:rFonts w:eastAsia="Times New Roman"/>
          <w:color w:val="000000"/>
        </w:rPr>
        <w:t xml:space="preserve"> However</w:t>
      </w:r>
      <w:r w:rsidR="000B21FB">
        <w:rPr>
          <w:rFonts w:eastAsia="Times New Roman"/>
          <w:color w:val="000000"/>
        </w:rPr>
        <w:t>,</w:t>
      </w:r>
      <w:r w:rsidR="00D86CFF">
        <w:rPr>
          <w:rFonts w:eastAsia="Times New Roman"/>
          <w:color w:val="000000"/>
        </w:rPr>
        <w:t xml:space="preserve"> </w:t>
      </w:r>
      <w:r w:rsidR="008B4417">
        <w:rPr>
          <w:rFonts w:eastAsia="Times New Roman"/>
          <w:color w:val="000000"/>
        </w:rPr>
        <w:t xml:space="preserve">as thoughtfully discussed above, </w:t>
      </w:r>
      <w:r w:rsidR="00D86CFF">
        <w:rPr>
          <w:rFonts w:eastAsia="Times New Roman"/>
          <w:color w:val="000000"/>
        </w:rPr>
        <w:t xml:space="preserve">this is only an example </w:t>
      </w:r>
      <w:r w:rsidR="008B4417">
        <w:rPr>
          <w:rFonts w:eastAsia="Times New Roman"/>
          <w:color w:val="000000"/>
        </w:rPr>
        <w:t>of a possible classification and coding performance achievable</w:t>
      </w:r>
      <w:r w:rsidR="002B2B44">
        <w:rPr>
          <w:rFonts w:eastAsia="Times New Roman"/>
          <w:color w:val="000000"/>
        </w:rPr>
        <w:t>,</w:t>
      </w:r>
      <w:r w:rsidR="008B4417">
        <w:rPr>
          <w:rFonts w:eastAsia="Times New Roman"/>
          <w:color w:val="000000"/>
        </w:rPr>
        <w:t xml:space="preserve"> and compression ratios may vary according to the specific statistical characteristics of each data set and</w:t>
      </w:r>
      <w:r w:rsidR="002B2B44">
        <w:rPr>
          <w:rFonts w:eastAsia="Times New Roman"/>
          <w:color w:val="000000"/>
        </w:rPr>
        <w:t xml:space="preserve"> according to</w:t>
      </w:r>
      <w:r w:rsidR="008B4417">
        <w:rPr>
          <w:rFonts w:eastAsia="Times New Roman"/>
          <w:color w:val="000000"/>
        </w:rPr>
        <w:t xml:space="preserve"> the quality and optimization capabilities of the encoder.</w:t>
      </w:r>
    </w:p>
    <w:p w14:paraId="528F7BFD" w14:textId="478A7AAB" w:rsidR="00CD125D" w:rsidRDefault="00CD125D" w:rsidP="00F922C3">
      <w:pPr>
        <w:pStyle w:val="Heading1"/>
      </w:pPr>
      <w:r>
        <w:t>Benefits provided by MPEG-G</w:t>
      </w:r>
    </w:p>
    <w:p w14:paraId="10E9FF94" w14:textId="3928F83C" w:rsidR="009A2BA0" w:rsidRDefault="009A2BA0" w:rsidP="00CD125D">
      <w:pPr>
        <w:rPr>
          <w:rFonts w:eastAsia="Times New Roman"/>
          <w:color w:val="000000"/>
        </w:rPr>
      </w:pPr>
      <w:r w:rsidRPr="00B55E44">
        <w:rPr>
          <w:rFonts w:eastAsia="Times New Roman"/>
          <w:color w:val="000000"/>
        </w:rPr>
        <w:t>Th</w:t>
      </w:r>
      <w:r>
        <w:rPr>
          <w:rFonts w:eastAsia="Times New Roman"/>
          <w:color w:val="000000"/>
        </w:rPr>
        <w:t>e</w:t>
      </w:r>
      <w:r w:rsidRPr="00B55E44">
        <w:rPr>
          <w:rFonts w:eastAsia="Times New Roman"/>
          <w:color w:val="000000"/>
        </w:rPr>
        <w:t xml:space="preserve"> </w:t>
      </w:r>
      <w:r>
        <w:rPr>
          <w:rFonts w:eastAsia="Times New Roman"/>
          <w:color w:val="000000"/>
        </w:rPr>
        <w:t>standard</w:t>
      </w:r>
      <w:r w:rsidRPr="00B55E44">
        <w:rPr>
          <w:rFonts w:eastAsia="Times New Roman"/>
          <w:color w:val="000000"/>
        </w:rPr>
        <w:t xml:space="preserve"> </w:t>
      </w:r>
      <w:r w:rsidR="006D5394">
        <w:rPr>
          <w:rFonts w:eastAsia="Times New Roman"/>
          <w:color w:val="000000"/>
        </w:rPr>
        <w:t>intends to</w:t>
      </w:r>
      <w:r w:rsidRPr="00B55E44">
        <w:rPr>
          <w:rFonts w:eastAsia="Times New Roman"/>
          <w:color w:val="000000"/>
        </w:rPr>
        <w:t xml:space="preserve"> provide the foundation for interoperable genomic information processing applications enabling the use of genomic data on a large </w:t>
      </w:r>
      <w:r>
        <w:rPr>
          <w:rFonts w:eastAsia="Times New Roman"/>
          <w:color w:val="000000"/>
        </w:rPr>
        <w:t>scale. ISO/IEC is also engaged in supporting the maintenance of the standard to guarantee the perenniality of the applications using MPEG-G technology.</w:t>
      </w:r>
      <w:r w:rsidR="006D5394">
        <w:rPr>
          <w:rFonts w:eastAsia="Times New Roman"/>
          <w:color w:val="000000"/>
        </w:rPr>
        <w:t xml:space="preserve"> A list of the essential features of the MPEG-G technology is the following:</w:t>
      </w:r>
    </w:p>
    <w:p w14:paraId="3ECBB103" w14:textId="77777777" w:rsidR="00B97FA9" w:rsidRDefault="00B97FA9" w:rsidP="00B97FA9">
      <w:pPr>
        <w:pStyle w:val="ListParagraph"/>
        <w:numPr>
          <w:ilvl w:val="0"/>
          <w:numId w:val="13"/>
        </w:numPr>
        <w:rPr>
          <w:lang w:eastAsia="zh-CN"/>
        </w:rPr>
      </w:pPr>
      <w:r w:rsidRPr="00FC5AAA">
        <w:rPr>
          <w:b/>
          <w:lang w:eastAsia="zh-CN"/>
        </w:rPr>
        <w:t>Selective access to compressed data</w:t>
      </w:r>
      <w:r>
        <w:rPr>
          <w:lang w:eastAsia="zh-CN"/>
        </w:rPr>
        <w:t>: Indexing tools embedded in an MPEG-G file enable several types of selective access to compressed data that can be combined in the same query.</w:t>
      </w:r>
    </w:p>
    <w:p w14:paraId="27529416" w14:textId="77777777" w:rsidR="00B97FA9" w:rsidRDefault="00B97FA9" w:rsidP="00B97FA9">
      <w:pPr>
        <w:pStyle w:val="ListParagraph"/>
        <w:numPr>
          <w:ilvl w:val="0"/>
          <w:numId w:val="13"/>
        </w:numPr>
        <w:rPr>
          <w:lang w:eastAsia="zh-CN"/>
        </w:rPr>
      </w:pPr>
      <w:r w:rsidRPr="00FC5AAA">
        <w:rPr>
          <w:b/>
          <w:lang w:eastAsia="zh-CN"/>
        </w:rPr>
        <w:t>Data streaming</w:t>
      </w:r>
      <w:r w:rsidRPr="001A27D8">
        <w:rPr>
          <w:lang w:eastAsia="zh-CN"/>
        </w:rPr>
        <w:t>:</w:t>
      </w:r>
      <w:r>
        <w:rPr>
          <w:lang w:eastAsia="zh-CN"/>
        </w:rPr>
        <w:t xml:space="preserve"> </w:t>
      </w:r>
      <w:r>
        <w:t>MPEG-G supports the packetization of compressed data for transport to receiving devices that can start processing the data before transmission is completed.</w:t>
      </w:r>
    </w:p>
    <w:p w14:paraId="2607DB39" w14:textId="77777777" w:rsidR="00B97FA9" w:rsidRDefault="00B97FA9" w:rsidP="00B97FA9">
      <w:pPr>
        <w:pStyle w:val="ListParagraph"/>
        <w:numPr>
          <w:ilvl w:val="0"/>
          <w:numId w:val="13"/>
        </w:numPr>
        <w:rPr>
          <w:lang w:eastAsia="zh-CN"/>
        </w:rPr>
      </w:pPr>
      <w:r>
        <w:rPr>
          <w:b/>
          <w:lang w:eastAsia="zh-CN"/>
        </w:rPr>
        <w:t>Compressed f</w:t>
      </w:r>
      <w:r w:rsidRPr="00FC5AAA">
        <w:rPr>
          <w:b/>
          <w:lang w:eastAsia="zh-CN"/>
        </w:rPr>
        <w:t>ile concatenation</w:t>
      </w:r>
      <w:r w:rsidRPr="001A27D8">
        <w:rPr>
          <w:lang w:eastAsia="zh-CN"/>
        </w:rPr>
        <w:t>:</w:t>
      </w:r>
      <w:r>
        <w:rPr>
          <w:lang w:eastAsia="zh-CN"/>
        </w:rPr>
        <w:t xml:space="preserve"> MPEG-G files can be concatenated without the need to decode and re-encode them.</w:t>
      </w:r>
    </w:p>
    <w:p w14:paraId="1671DB46" w14:textId="77777777" w:rsidR="00B97FA9" w:rsidRDefault="00B97FA9" w:rsidP="00B97FA9">
      <w:pPr>
        <w:pStyle w:val="ListParagraph"/>
        <w:numPr>
          <w:ilvl w:val="0"/>
          <w:numId w:val="13"/>
        </w:numPr>
        <w:rPr>
          <w:lang w:eastAsia="zh-CN"/>
        </w:rPr>
      </w:pPr>
      <w:r w:rsidRPr="00FC5AAA">
        <w:rPr>
          <w:b/>
          <w:lang w:eastAsia="zh-CN"/>
        </w:rPr>
        <w:t>Genomic studies aggregation</w:t>
      </w:r>
      <w:r w:rsidRPr="001A27D8">
        <w:rPr>
          <w:lang w:eastAsia="zh-CN"/>
        </w:rPr>
        <w:t>:</w:t>
      </w:r>
      <w:r>
        <w:rPr>
          <w:lang w:eastAsia="zh-CN"/>
        </w:rPr>
        <w:t xml:space="preserve"> Several related genomic studies can be encapsulated in the same MPEG-G file while still being separately accessible. Additionally, transversal queries over multiple studies are possible (e.g. “select chromosome 1 of all compressed samples”).</w:t>
      </w:r>
    </w:p>
    <w:p w14:paraId="28F5BD6F" w14:textId="77777777" w:rsidR="00B97FA9" w:rsidRDefault="00B97FA9" w:rsidP="00B97FA9">
      <w:pPr>
        <w:pStyle w:val="ListParagraph"/>
        <w:numPr>
          <w:ilvl w:val="0"/>
          <w:numId w:val="13"/>
        </w:numPr>
        <w:rPr>
          <w:lang w:eastAsia="zh-CN"/>
        </w:rPr>
      </w:pPr>
      <w:r>
        <w:rPr>
          <w:b/>
          <w:lang w:eastAsia="zh-CN"/>
        </w:rPr>
        <w:t>Enforcement of p</w:t>
      </w:r>
      <w:r w:rsidRPr="00FC5AAA">
        <w:rPr>
          <w:b/>
          <w:lang w:eastAsia="zh-CN"/>
        </w:rPr>
        <w:t>rivacy rules</w:t>
      </w:r>
      <w:r w:rsidRPr="001A27D8">
        <w:rPr>
          <w:lang w:eastAsia="zh-CN"/>
        </w:rPr>
        <w:t>:</w:t>
      </w:r>
      <w:r>
        <w:rPr>
          <w:lang w:eastAsia="zh-CN"/>
        </w:rPr>
        <w:t xml:space="preserve"> Data encoded in an MPEG-G file can be linked to multiple owner-defined privacy rules, which impose restrictions on data access and usage.</w:t>
      </w:r>
    </w:p>
    <w:p w14:paraId="76711D38" w14:textId="77777777" w:rsidR="00B97FA9" w:rsidRDefault="00B97FA9" w:rsidP="00B97FA9">
      <w:pPr>
        <w:pStyle w:val="ListParagraph"/>
        <w:numPr>
          <w:ilvl w:val="0"/>
          <w:numId w:val="13"/>
        </w:numPr>
        <w:rPr>
          <w:lang w:eastAsia="zh-CN"/>
        </w:rPr>
      </w:pPr>
      <w:r>
        <w:rPr>
          <w:b/>
          <w:lang w:eastAsia="zh-CN"/>
        </w:rPr>
        <w:t>Selective encryption of sequencing data and metadata</w:t>
      </w:r>
      <w:r>
        <w:rPr>
          <w:lang w:eastAsia="zh-CN"/>
        </w:rPr>
        <w:t>: The encryption of genomic information is supported by MPEG-G at different levels in the hierarchy of MPEG-G logical data structures.</w:t>
      </w:r>
    </w:p>
    <w:p w14:paraId="6C7ADBA3" w14:textId="77777777" w:rsidR="00B97FA9" w:rsidRDefault="00B97FA9" w:rsidP="00B97FA9">
      <w:pPr>
        <w:pStyle w:val="ListParagraph"/>
        <w:numPr>
          <w:ilvl w:val="0"/>
          <w:numId w:val="13"/>
        </w:numPr>
        <w:rPr>
          <w:lang w:eastAsia="zh-CN"/>
        </w:rPr>
      </w:pPr>
      <w:r w:rsidRPr="00FC5AAA">
        <w:rPr>
          <w:b/>
          <w:lang w:eastAsia="zh-CN"/>
        </w:rPr>
        <w:t>Annotation and linkage of genomic segments</w:t>
      </w:r>
      <w:r>
        <w:rPr>
          <w:b/>
          <w:lang w:eastAsia="zh-CN"/>
        </w:rPr>
        <w:t xml:space="preserve"> in the compressed domain</w:t>
      </w:r>
      <w:r w:rsidRPr="001A27D8">
        <w:rPr>
          <w:lang w:eastAsia="zh-CN"/>
        </w:rPr>
        <w:t>:</w:t>
      </w:r>
      <w:r>
        <w:rPr>
          <w:lang w:eastAsia="zh-CN"/>
        </w:rPr>
        <w:t xml:space="preserve"> MPEG-G supports the annotation of genomic segments. Additionally, MPEG-G provides support for linking segments within a single genomic sample or across multiple genomic samples.</w:t>
      </w:r>
    </w:p>
    <w:p w14:paraId="31A4D0D3" w14:textId="785B1921" w:rsidR="00B97FA9" w:rsidRDefault="00B97FA9" w:rsidP="00B97FA9">
      <w:pPr>
        <w:pStyle w:val="ListParagraph"/>
        <w:numPr>
          <w:ilvl w:val="0"/>
          <w:numId w:val="13"/>
        </w:numPr>
        <w:rPr>
          <w:lang w:eastAsia="zh-CN"/>
        </w:rPr>
      </w:pPr>
      <w:r w:rsidRPr="008A2C12">
        <w:rPr>
          <w:b/>
          <w:lang w:eastAsia="zh-CN"/>
        </w:rPr>
        <w:t xml:space="preserve">Interoperability with </w:t>
      </w:r>
      <w:r w:rsidR="007F1E6C">
        <w:rPr>
          <w:b/>
          <w:lang w:eastAsia="zh-CN"/>
        </w:rPr>
        <w:t xml:space="preserve">main </w:t>
      </w:r>
      <w:r w:rsidRPr="008A2C12">
        <w:rPr>
          <w:b/>
          <w:lang w:eastAsia="zh-CN"/>
        </w:rPr>
        <w:t>existing technologies</w:t>
      </w:r>
      <w:r w:rsidR="002B2B44">
        <w:rPr>
          <w:b/>
          <w:lang w:eastAsia="zh-CN"/>
        </w:rPr>
        <w:t xml:space="preserve"> and legacy formats</w:t>
      </w:r>
      <w:r w:rsidRPr="008A2C12">
        <w:rPr>
          <w:lang w:eastAsia="zh-CN"/>
        </w:rPr>
        <w:t>:</w:t>
      </w:r>
      <w:r>
        <w:rPr>
          <w:lang w:eastAsia="zh-CN"/>
        </w:rPr>
        <w:t xml:space="preserve"> Conversion to/from legacy format such as FASTQ, SAM or BAM is supported by MPEG-G.</w:t>
      </w:r>
    </w:p>
    <w:p w14:paraId="1925160D" w14:textId="55A8805A" w:rsidR="00B97FA9" w:rsidRPr="00CD125D" w:rsidRDefault="00B97FA9" w:rsidP="007F1E6C">
      <w:pPr>
        <w:pStyle w:val="ListParagraph"/>
        <w:numPr>
          <w:ilvl w:val="0"/>
          <w:numId w:val="13"/>
        </w:numPr>
        <w:rPr>
          <w:lang w:eastAsia="zh-CN"/>
        </w:rPr>
      </w:pPr>
      <w:r>
        <w:rPr>
          <w:b/>
          <w:lang w:eastAsia="zh-CN"/>
        </w:rPr>
        <w:t>Incremental update of sequencing data and metadata</w:t>
      </w:r>
      <w:r w:rsidRPr="00AC1D0C">
        <w:rPr>
          <w:lang w:eastAsia="zh-CN"/>
        </w:rPr>
        <w:t>:</w:t>
      </w:r>
      <w:r>
        <w:rPr>
          <w:lang w:eastAsia="zh-CN"/>
        </w:rPr>
        <w:t xml:space="preserve"> MPEG-G files can be incremented with sequencing data and metadata without requiring decompression and re-compression of pre-existing data.</w:t>
      </w:r>
    </w:p>
    <w:p w14:paraId="23E51E28" w14:textId="43A33AB0" w:rsidR="00525473" w:rsidRDefault="00CD125D" w:rsidP="00F922C3">
      <w:pPr>
        <w:pStyle w:val="Heading1"/>
      </w:pPr>
      <w:r>
        <w:t>Important technical features of</w:t>
      </w:r>
      <w:r w:rsidR="002A2FC3">
        <w:t xml:space="preserve"> </w:t>
      </w:r>
      <w:r w:rsidR="00525473">
        <w:t>MPEG-G</w:t>
      </w:r>
    </w:p>
    <w:p w14:paraId="05CAACB8" w14:textId="12664918" w:rsidR="00245669" w:rsidRDefault="00192EF2" w:rsidP="00245669">
      <w:r>
        <w:t xml:space="preserve">MPEG-G </w:t>
      </w:r>
      <w:r w:rsidR="00F85727">
        <w:t>technology provides</w:t>
      </w:r>
      <w:r>
        <w:t xml:space="preserve"> storage and transport </w:t>
      </w:r>
      <w:r w:rsidR="00F85727">
        <w:t>capabilities</w:t>
      </w:r>
      <w:r w:rsidR="005C384E">
        <w:t xml:space="preserve"> </w:t>
      </w:r>
      <w:r>
        <w:t xml:space="preserve">both </w:t>
      </w:r>
      <w:r w:rsidR="001250E5">
        <w:t xml:space="preserve">for </w:t>
      </w:r>
      <w:r>
        <w:t xml:space="preserve">raw genomic sequences and </w:t>
      </w:r>
      <w:r w:rsidR="003A13E0">
        <w:t xml:space="preserve">for </w:t>
      </w:r>
      <w:r>
        <w:t>genomic sequences mapped on</w:t>
      </w:r>
      <w:r w:rsidR="003A13E0">
        <w:t>to</w:t>
      </w:r>
      <w:r>
        <w:t xml:space="preserve"> reference genome</w:t>
      </w:r>
      <w:r w:rsidR="00BF2415">
        <w:t>s</w:t>
      </w:r>
      <w:r>
        <w:t>.</w:t>
      </w:r>
      <w:r w:rsidR="009A0103">
        <w:t xml:space="preserve"> </w:t>
      </w:r>
      <w:r w:rsidR="00BF2415">
        <w:rPr>
          <w:lang w:eastAsia="zh-CN"/>
        </w:rPr>
        <w:t>Moreover</w:t>
      </w:r>
      <w:r w:rsidR="00245669">
        <w:rPr>
          <w:lang w:eastAsia="zh-CN"/>
        </w:rPr>
        <w:t xml:space="preserve">, MPEG-G provides support for complex use cases that </w:t>
      </w:r>
      <w:r w:rsidR="00245669">
        <w:rPr>
          <w:color w:val="000000"/>
        </w:rPr>
        <w:t>are currently not supported by existing formats.</w:t>
      </w:r>
    </w:p>
    <w:p w14:paraId="2839C50F" w14:textId="77777777" w:rsidR="00245669" w:rsidRDefault="00245669" w:rsidP="00192EF2"/>
    <w:p w14:paraId="1862C7ED" w14:textId="2FE228BD" w:rsidR="00192EF2" w:rsidRDefault="00C06B4B" w:rsidP="00192EF2">
      <w:r>
        <w:t>The</w:t>
      </w:r>
      <w:r w:rsidR="00192EF2">
        <w:t xml:space="preserve"> </w:t>
      </w:r>
      <w:r w:rsidR="000B15DA">
        <w:t>representation</w:t>
      </w:r>
      <w:r>
        <w:t xml:space="preserve"> of genomic information </w:t>
      </w:r>
      <w:r w:rsidR="002C1292">
        <w:t>with</w:t>
      </w:r>
      <w:r>
        <w:t xml:space="preserve"> MPEG-G</w:t>
      </w:r>
      <w:r w:rsidR="000B15DA">
        <w:t xml:space="preserve"> is based on </w:t>
      </w:r>
      <w:r w:rsidR="00192EF2">
        <w:t xml:space="preserve">the </w:t>
      </w:r>
      <w:r w:rsidR="000B15DA">
        <w:t>concept of</w:t>
      </w:r>
      <w:r w:rsidR="00AE66A7">
        <w:t xml:space="preserve"> the</w:t>
      </w:r>
      <w:r w:rsidR="000B15DA">
        <w:t xml:space="preserve"> </w:t>
      </w:r>
      <w:r w:rsidR="00192EF2" w:rsidRPr="009447A5">
        <w:rPr>
          <w:i/>
        </w:rPr>
        <w:t>Genomic Record</w:t>
      </w:r>
      <w:r w:rsidR="000B15DA">
        <w:t>,</w:t>
      </w:r>
      <w:r w:rsidR="00192EF2">
        <w:t xml:space="preserve"> a data structure </w:t>
      </w:r>
      <w:r w:rsidR="00914F57">
        <w:t>consisting of</w:t>
      </w:r>
      <w:r w:rsidR="00F53562">
        <w:t xml:space="preserve"> </w:t>
      </w:r>
      <w:r w:rsidR="00F53562" w:rsidRPr="007F5D15">
        <w:t>either a single sequence read</w:t>
      </w:r>
      <w:r w:rsidR="009447A5">
        <w:t>,</w:t>
      </w:r>
      <w:r w:rsidR="00F53562" w:rsidRPr="007F5D15">
        <w:t xml:space="preserve"> or a paired sequence read</w:t>
      </w:r>
      <w:r w:rsidR="009447A5">
        <w:t xml:space="preserve">, </w:t>
      </w:r>
      <w:r w:rsidR="00914F57">
        <w:t>and</w:t>
      </w:r>
      <w:r w:rsidR="009447A5">
        <w:t xml:space="preserve"> its associated </w:t>
      </w:r>
      <w:r w:rsidR="00914F57">
        <w:t xml:space="preserve">sequencing and alignment </w:t>
      </w:r>
      <w:r w:rsidR="009447A5">
        <w:t>information</w:t>
      </w:r>
      <w:r w:rsidR="00F53562">
        <w:t xml:space="preserve">; it may contain </w:t>
      </w:r>
      <w:r w:rsidR="00914F57">
        <w:t>detailed mapping and alignment</w:t>
      </w:r>
      <w:r w:rsidR="00F53562">
        <w:t xml:space="preserve"> </w:t>
      </w:r>
      <w:r w:rsidR="009447A5">
        <w:t>data</w:t>
      </w:r>
      <w:r w:rsidR="00F53562">
        <w:t>,</w:t>
      </w:r>
      <w:r w:rsidR="00F53562" w:rsidRPr="007F5D15">
        <w:t xml:space="preserve"> </w:t>
      </w:r>
      <w:r w:rsidR="00F53562">
        <w:t xml:space="preserve">a single or paired read </w:t>
      </w:r>
      <w:r w:rsidR="00F53562" w:rsidRPr="007F5D15">
        <w:t xml:space="preserve">identifier </w:t>
      </w:r>
      <w:r w:rsidR="00F53562">
        <w:t xml:space="preserve">(read name) </w:t>
      </w:r>
      <w:r w:rsidR="00F53562" w:rsidRPr="007F5D15">
        <w:t>and quality values.</w:t>
      </w:r>
    </w:p>
    <w:p w14:paraId="07EEBCCD" w14:textId="3D609BC3" w:rsidR="004E499F" w:rsidRDefault="00192EF2" w:rsidP="00192EF2">
      <w:r>
        <w:lastRenderedPageBreak/>
        <w:t xml:space="preserve">Genomic Records are </w:t>
      </w:r>
      <w:r w:rsidR="00914F57">
        <w:t xml:space="preserve">aggregated and </w:t>
      </w:r>
      <w:r>
        <w:t>encoded in</w:t>
      </w:r>
      <w:r w:rsidR="000B15DA">
        <w:t xml:space="preserve"> </w:t>
      </w:r>
      <w:r w:rsidR="00914F57">
        <w:t xml:space="preserve">structures called </w:t>
      </w:r>
      <w:r w:rsidRPr="00914F57">
        <w:rPr>
          <w:i/>
        </w:rPr>
        <w:t>Access Unit</w:t>
      </w:r>
      <w:r w:rsidR="00AE66A7" w:rsidRPr="00914F57">
        <w:rPr>
          <w:i/>
        </w:rPr>
        <w:t>s</w:t>
      </w:r>
      <w:r w:rsidR="001D1881">
        <w:t>. These structures</w:t>
      </w:r>
      <w:r>
        <w:t xml:space="preserve"> </w:t>
      </w:r>
      <w:r w:rsidR="00143837">
        <w:t xml:space="preserve">are </w:t>
      </w:r>
      <w:r w:rsidR="000B15DA">
        <w:t>units of</w:t>
      </w:r>
      <w:r>
        <w:t xml:space="preserve"> coded </w:t>
      </w:r>
      <w:r w:rsidR="001866BE">
        <w:t xml:space="preserve">genomic </w:t>
      </w:r>
      <w:r>
        <w:t>in</w:t>
      </w:r>
      <w:r w:rsidR="00EF3F65">
        <w:t>formation</w:t>
      </w:r>
      <w:r w:rsidR="00F85727">
        <w:t xml:space="preserve"> that can be separately accessed and inspected</w:t>
      </w:r>
      <w:r>
        <w:t>.</w:t>
      </w:r>
      <w:r w:rsidR="00B412F4">
        <w:t xml:space="preserve"> An illustration of the essential </w:t>
      </w:r>
      <w:r w:rsidR="00796308">
        <w:t>elements</w:t>
      </w:r>
      <w:r w:rsidR="001866BE">
        <w:t>, including Access Units,</w:t>
      </w:r>
      <w:r w:rsidR="00B412F4">
        <w:t xml:space="preserve"> of the MPEG-G file format is shown in </w:t>
      </w:r>
      <w:r w:rsidR="00B412F4">
        <w:fldChar w:fldCharType="begin"/>
      </w:r>
      <w:r w:rsidR="00B412F4">
        <w:instrText xml:space="preserve"> REF _Ref498686137 \h </w:instrText>
      </w:r>
      <w:r w:rsidR="00B412F4">
        <w:fldChar w:fldCharType="separate"/>
      </w:r>
      <w:r w:rsidR="00B65068">
        <w:t xml:space="preserve">Figure </w:t>
      </w:r>
      <w:r w:rsidR="00B65068">
        <w:rPr>
          <w:noProof/>
        </w:rPr>
        <w:t>3</w:t>
      </w:r>
      <w:r w:rsidR="00B412F4">
        <w:fldChar w:fldCharType="end"/>
      </w:r>
      <w:r w:rsidR="00992652">
        <w:t xml:space="preserve"> and in </w:t>
      </w:r>
      <w:r w:rsidR="00992652">
        <w:fldChar w:fldCharType="begin"/>
      </w:r>
      <w:r w:rsidR="00992652">
        <w:instrText xml:space="preserve"> REF _Ref505588645 \h </w:instrText>
      </w:r>
      <w:r w:rsidR="00992652">
        <w:fldChar w:fldCharType="separate"/>
      </w:r>
      <w:r w:rsidR="00B65068">
        <w:t xml:space="preserve">Figure </w:t>
      </w:r>
      <w:r w:rsidR="00B65068">
        <w:rPr>
          <w:noProof/>
        </w:rPr>
        <w:t>4</w:t>
      </w:r>
      <w:r w:rsidR="00992652">
        <w:fldChar w:fldCharType="end"/>
      </w:r>
      <w:r w:rsidR="00B412F4">
        <w:t>.</w:t>
      </w:r>
    </w:p>
    <w:p w14:paraId="2C10CBB3" w14:textId="77777777" w:rsidR="004E499F" w:rsidRDefault="004E499F" w:rsidP="00192EF2"/>
    <w:p w14:paraId="209C7BFB" w14:textId="61ADCFBA" w:rsidR="00192EF2" w:rsidRDefault="006D6D0A" w:rsidP="004E499F">
      <w:pPr>
        <w:jc w:val="center"/>
      </w:pPr>
      <w:r w:rsidRPr="00161E24">
        <w:rPr>
          <w:noProof/>
          <w:sz w:val="16"/>
          <w:lang w:val="fr-CH" w:eastAsia="fr-CH"/>
        </w:rPr>
        <w:drawing>
          <wp:inline distT="0" distB="0" distL="0" distR="0" wp14:anchorId="6406FD91" wp14:editId="1A9FF6AA">
            <wp:extent cx="5940425" cy="3613150"/>
            <wp:effectExtent l="0" t="0" r="3175"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PEG-G_File_forma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3613150"/>
                    </a:xfrm>
                    <a:prstGeom prst="rect">
                      <a:avLst/>
                    </a:prstGeom>
                  </pic:spPr>
                </pic:pic>
              </a:graphicData>
            </a:graphic>
          </wp:inline>
        </w:drawing>
      </w:r>
    </w:p>
    <w:p w14:paraId="3C0FCB9C" w14:textId="00B997FF" w:rsidR="004E499F" w:rsidRDefault="004E499F" w:rsidP="002B2B44">
      <w:pPr>
        <w:pStyle w:val="Caption"/>
        <w:ind w:left="360"/>
      </w:pPr>
      <w:bookmarkStart w:id="2" w:name="_Ref498686137"/>
      <w:r>
        <w:t xml:space="preserve">Figure </w:t>
      </w:r>
      <w:fldSimple w:instr=" SEQ Figure \* ARABIC ">
        <w:r w:rsidR="00B65068">
          <w:rPr>
            <w:noProof/>
          </w:rPr>
          <w:t>3</w:t>
        </w:r>
      </w:fldSimple>
      <w:bookmarkEnd w:id="2"/>
      <w:r>
        <w:t>. Illustration of the essential elements of the MPEG-G file format</w:t>
      </w:r>
      <w:r w:rsidR="00AC1D0C">
        <w:t>. Multiple “</w:t>
      </w:r>
      <w:r w:rsidR="003854F2">
        <w:t>D</w:t>
      </w:r>
      <w:r w:rsidR="00AC1D0C">
        <w:t xml:space="preserve">ataset </w:t>
      </w:r>
      <w:r w:rsidR="003854F2">
        <w:t>G</w:t>
      </w:r>
      <w:r w:rsidR="00AC1D0C">
        <w:t xml:space="preserve">roups” include multiple </w:t>
      </w:r>
      <w:r w:rsidR="003854F2">
        <w:t>D</w:t>
      </w:r>
      <w:r w:rsidR="00AC1D0C">
        <w:t>atasets of sequencing data.</w:t>
      </w:r>
      <w:r w:rsidR="00937263">
        <w:t xml:space="preserve"> E</w:t>
      </w:r>
      <w:r w:rsidR="00AC1D0C">
        <w:t xml:space="preserve">ach </w:t>
      </w:r>
      <w:r w:rsidR="003854F2">
        <w:t>D</w:t>
      </w:r>
      <w:r w:rsidR="00AC1D0C">
        <w:t>ataset is composed of Access Units</w:t>
      </w:r>
      <w:r w:rsidR="00937263">
        <w:t xml:space="preserve"> containing only one Data Class. Each Data Class is composed by </w:t>
      </w:r>
      <w:r w:rsidR="003854F2">
        <w:t>B</w:t>
      </w:r>
      <w:r w:rsidR="00937263">
        <w:t xml:space="preserve">locks of </w:t>
      </w:r>
      <w:r w:rsidR="003854F2">
        <w:t>R</w:t>
      </w:r>
      <w:r w:rsidR="00937263">
        <w:t xml:space="preserve">ead </w:t>
      </w:r>
      <w:r w:rsidR="003854F2">
        <w:t>D</w:t>
      </w:r>
      <w:r w:rsidR="00937263">
        <w:t>escriptors.</w:t>
      </w:r>
    </w:p>
    <w:p w14:paraId="1FB3D609" w14:textId="77777777" w:rsidR="00410FA6" w:rsidRDefault="00410FA6" w:rsidP="00410FA6">
      <w:pPr>
        <w:keepNext/>
        <w:jc w:val="center"/>
      </w:pPr>
      <w:r w:rsidRPr="00161E24">
        <w:rPr>
          <w:noProof/>
          <w:lang w:val="fr-CH" w:eastAsia="fr-CH"/>
        </w:rPr>
        <w:lastRenderedPageBreak/>
        <w:drawing>
          <wp:inline distT="0" distB="0" distL="0" distR="0" wp14:anchorId="50FBE678" wp14:editId="2526C1B6">
            <wp:extent cx="5940425" cy="4156710"/>
            <wp:effectExtent l="0" t="0" r="317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PEG-G_Datase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4156710"/>
                    </a:xfrm>
                    <a:prstGeom prst="rect">
                      <a:avLst/>
                    </a:prstGeom>
                  </pic:spPr>
                </pic:pic>
              </a:graphicData>
            </a:graphic>
          </wp:inline>
        </w:drawing>
      </w:r>
    </w:p>
    <w:p w14:paraId="6B3E6AAB" w14:textId="5403B5F7" w:rsidR="00410FA6" w:rsidRDefault="00410FA6" w:rsidP="002B2B44">
      <w:pPr>
        <w:pStyle w:val="Caption"/>
      </w:pPr>
      <w:bookmarkStart w:id="3" w:name="_Ref505588645"/>
      <w:r>
        <w:t xml:space="preserve">Figure </w:t>
      </w:r>
      <w:fldSimple w:instr=" SEQ Figure \* ARABIC ">
        <w:r w:rsidR="00B65068">
          <w:rPr>
            <w:noProof/>
          </w:rPr>
          <w:t>4</w:t>
        </w:r>
      </w:fldSimple>
      <w:bookmarkEnd w:id="3"/>
      <w:r>
        <w:t xml:space="preserve">: Access Units </w:t>
      </w:r>
      <w:r w:rsidR="00937263">
        <w:t>containing compressed representations of</w:t>
      </w:r>
      <w:r>
        <w:t xml:space="preserve"> different Data Classes are composed by</w:t>
      </w:r>
      <w:r w:rsidR="008A2C12">
        <w:t xml:space="preserve"> different</w:t>
      </w:r>
      <w:r>
        <w:t xml:space="preserve"> subsets of Descriptor Stream</w:t>
      </w:r>
      <w:r w:rsidR="00937263">
        <w:t xml:space="preserve"> </w:t>
      </w:r>
      <w:r w:rsidR="003854F2">
        <w:t>B</w:t>
      </w:r>
      <w:r w:rsidR="00937263">
        <w:t>locks</w:t>
      </w:r>
      <w:r w:rsidR="008A2C12">
        <w:t>.</w:t>
      </w:r>
    </w:p>
    <w:p w14:paraId="3F718A67" w14:textId="21DE6110" w:rsidR="00B81993" w:rsidRDefault="00B81993" w:rsidP="00B81993">
      <w:pPr>
        <w:pStyle w:val="Heading2"/>
      </w:pPr>
      <w:r>
        <w:t>Raw sequences</w:t>
      </w:r>
    </w:p>
    <w:p w14:paraId="18BBEA67" w14:textId="79F14B09" w:rsidR="00B81993" w:rsidRPr="00AE66A7" w:rsidRDefault="00B81993" w:rsidP="00B81993">
      <w:r w:rsidRPr="00AE66A7">
        <w:t xml:space="preserve">Raw sequence data can be </w:t>
      </w:r>
      <w:r w:rsidR="004B2C1F" w:rsidRPr="00AE66A7">
        <w:t xml:space="preserve">encoded </w:t>
      </w:r>
      <w:r w:rsidRPr="00AE66A7">
        <w:t xml:space="preserve">in an MPEG-G </w:t>
      </w:r>
      <w:r w:rsidR="004B2C1F" w:rsidRPr="00AE66A7">
        <w:t>file with</w:t>
      </w:r>
      <w:r w:rsidR="00215F35" w:rsidRPr="00AE66A7">
        <w:t xml:space="preserve"> two </w:t>
      </w:r>
      <w:r w:rsidR="004B2C1F" w:rsidRPr="00AE66A7">
        <w:t xml:space="preserve">main </w:t>
      </w:r>
      <w:r w:rsidR="00215F35" w:rsidRPr="00AE66A7">
        <w:t>objectives</w:t>
      </w:r>
      <w:r w:rsidRPr="00AE66A7">
        <w:t>:</w:t>
      </w:r>
    </w:p>
    <w:p w14:paraId="2B034E0C" w14:textId="7B3A9C5C" w:rsidR="00510A55" w:rsidRDefault="00B81993" w:rsidP="00510A55">
      <w:pPr>
        <w:pStyle w:val="ListParagraph"/>
        <w:numPr>
          <w:ilvl w:val="0"/>
          <w:numId w:val="14"/>
        </w:numPr>
      </w:pPr>
      <w:bookmarkStart w:id="4" w:name="_Hlk505612875"/>
      <w:r w:rsidRPr="00510A55">
        <w:rPr>
          <w:b/>
        </w:rPr>
        <w:t>High</w:t>
      </w:r>
      <w:bookmarkEnd w:id="4"/>
      <w:r w:rsidRPr="00510A55">
        <w:rPr>
          <w:b/>
        </w:rPr>
        <w:t xml:space="preserve"> compression ratio and indexing</w:t>
      </w:r>
      <w:r w:rsidRPr="001A27D8">
        <w:t>:</w:t>
      </w:r>
      <w:r w:rsidRPr="00AE66A7">
        <w:t xml:space="preserve"> </w:t>
      </w:r>
      <w:r w:rsidR="001866BE">
        <w:t>A h</w:t>
      </w:r>
      <w:r w:rsidR="00510A55">
        <w:t xml:space="preserve">igh compression </w:t>
      </w:r>
      <w:r w:rsidR="001866BE">
        <w:t xml:space="preserve">ratio </w:t>
      </w:r>
      <w:r w:rsidR="00510A55">
        <w:t>is reached by leveraging the high redundancy in genomic sequence data</w:t>
      </w:r>
      <w:r w:rsidR="001866BE">
        <w:t>.</w:t>
      </w:r>
      <w:r w:rsidR="00510A55">
        <w:t xml:space="preserve"> </w:t>
      </w:r>
      <w:r w:rsidR="001866BE">
        <w:t>This</w:t>
      </w:r>
      <w:r w:rsidR="00510A55">
        <w:t xml:space="preserve"> enables</w:t>
      </w:r>
      <w:r w:rsidR="001866BE">
        <w:t xml:space="preserve"> the use of</w:t>
      </w:r>
      <w:r w:rsidR="00510A55">
        <w:t xml:space="preserve"> well-known compression techniques such as differential coding of sequences with respect to </w:t>
      </w:r>
      <w:r w:rsidR="001866BE">
        <w:t xml:space="preserve">already </w:t>
      </w:r>
      <w:r w:rsidR="00510A55">
        <w:t xml:space="preserve">encoded data. This approach achieves a maximum compression </w:t>
      </w:r>
      <w:r w:rsidR="00992652">
        <w:t>efficiency</w:t>
      </w:r>
      <w:r w:rsidR="007619AD">
        <w:t>,</w:t>
      </w:r>
      <w:r w:rsidR="00992652">
        <w:t xml:space="preserve"> but</w:t>
      </w:r>
      <w:r w:rsidR="00510A55">
        <w:t xml:space="preserve"> requires the availability of the entire dataset as well as a few preprocessing stages which may impact the compression latency with respect to the data generation time.</w:t>
      </w:r>
    </w:p>
    <w:p w14:paraId="38D5F9BA" w14:textId="79CE4A63" w:rsidR="00510A55" w:rsidRDefault="00510A55" w:rsidP="00510A55">
      <w:pPr>
        <w:pStyle w:val="ListParagraph"/>
      </w:pPr>
      <w:r>
        <w:t xml:space="preserve">Differential coding of raw genomic sequences relies on the identification of common patterns </w:t>
      </w:r>
      <w:r w:rsidR="001866BE">
        <w:t xml:space="preserve">(i.e. “signatures”) </w:t>
      </w:r>
      <w:r>
        <w:t>shared among several sequences</w:t>
      </w:r>
      <w:r w:rsidR="001866BE">
        <w:t>. These common patterns are</w:t>
      </w:r>
      <w:r>
        <w:t xml:space="preserve"> encoded only once together with the nucleotides </w:t>
      </w:r>
      <w:r w:rsidR="00353D00">
        <w:t xml:space="preserve">specific </w:t>
      </w:r>
      <w:r>
        <w:t>to each read (i.e. the “residuals”). The presence of such signatures enables the implementation of indexing schemes whereby the compressed data can be searched by means of patterns matching algorithms.</w:t>
      </w:r>
    </w:p>
    <w:p w14:paraId="2D31D201" w14:textId="722B0D14" w:rsidR="000D4CBD" w:rsidRDefault="00B81993" w:rsidP="00510A55">
      <w:pPr>
        <w:pStyle w:val="ListParagraph"/>
        <w:numPr>
          <w:ilvl w:val="0"/>
          <w:numId w:val="14"/>
        </w:numPr>
      </w:pPr>
      <w:r w:rsidRPr="00510A55">
        <w:rPr>
          <w:b/>
        </w:rPr>
        <w:t>High throughput and low latency</w:t>
      </w:r>
      <w:r w:rsidRPr="00AE66A7">
        <w:t xml:space="preserve">: </w:t>
      </w:r>
      <w:r w:rsidR="00510A55">
        <w:t xml:space="preserve">When data throughput and </w:t>
      </w:r>
      <w:r w:rsidR="001866BE">
        <w:t xml:space="preserve">low </w:t>
      </w:r>
      <w:r w:rsidR="00510A55">
        <w:t>streaming latency have higher priority with respect to compression efficiency, MPEG-G also supports a “high</w:t>
      </w:r>
      <w:r w:rsidR="001866BE">
        <w:t xml:space="preserve"> </w:t>
      </w:r>
      <w:r w:rsidR="00510A55">
        <w:t>throughput” compression approach which can be applied as soon as genomic sequences become available. In such case no data preprocessing over the entire dataset is necessary prior to the actual encoding. This approach efficiently supports streaming scenarios.</w:t>
      </w:r>
    </w:p>
    <w:p w14:paraId="6113F9C4" w14:textId="118228FE" w:rsidR="00B81993" w:rsidRDefault="00B81993" w:rsidP="00B81993">
      <w:pPr>
        <w:pStyle w:val="Heading2"/>
      </w:pPr>
      <w:r>
        <w:t>Mapped sequences</w:t>
      </w:r>
    </w:p>
    <w:p w14:paraId="2327610E" w14:textId="53D55BFB" w:rsidR="00B81993" w:rsidRDefault="00B81993" w:rsidP="00B81993">
      <w:r>
        <w:t>Genomic sequences mapped on</w:t>
      </w:r>
      <w:r w:rsidR="00F0744C">
        <w:t>to</w:t>
      </w:r>
      <w:r>
        <w:t xml:space="preserve"> reference </w:t>
      </w:r>
      <w:r w:rsidR="00F0744C">
        <w:t>sequences</w:t>
      </w:r>
      <w:r>
        <w:t xml:space="preserve"> can be compressed in a</w:t>
      </w:r>
      <w:r w:rsidR="00EF3F65">
        <w:t>n</w:t>
      </w:r>
      <w:r>
        <w:t xml:space="preserve"> MPEG-G file following two approaches:</w:t>
      </w:r>
    </w:p>
    <w:p w14:paraId="38C32DD4" w14:textId="3685B667" w:rsidR="00B81993" w:rsidRDefault="00B81993" w:rsidP="00B81993">
      <w:pPr>
        <w:pStyle w:val="ListParagraph"/>
        <w:numPr>
          <w:ilvl w:val="0"/>
          <w:numId w:val="7"/>
        </w:numPr>
      </w:pPr>
      <w:r w:rsidRPr="001A27D8">
        <w:rPr>
          <w:b/>
        </w:rPr>
        <w:lastRenderedPageBreak/>
        <w:t>Reference-based compression</w:t>
      </w:r>
      <w:r>
        <w:t xml:space="preserve">: </w:t>
      </w:r>
      <w:r w:rsidR="00EF3F65">
        <w:t>I</w:t>
      </w:r>
      <w:r>
        <w:t>n this approach the genomic sequences are represented by the differences they present with respect to the reference</w:t>
      </w:r>
      <w:r w:rsidR="00F0744C">
        <w:t xml:space="preserve"> sequences</w:t>
      </w:r>
      <w:r>
        <w:t xml:space="preserve"> </w:t>
      </w:r>
      <w:r w:rsidR="00F0744C">
        <w:t xml:space="preserve">as well as by </w:t>
      </w:r>
      <w:r>
        <w:t xml:space="preserve">the associated alignment information. This approach requires the availability of the reference </w:t>
      </w:r>
      <w:r w:rsidR="00F0744C">
        <w:t xml:space="preserve">sequences </w:t>
      </w:r>
      <w:r>
        <w:t>both at the encoding and decoding sides.</w:t>
      </w:r>
      <w:r w:rsidR="006B5954">
        <w:t xml:space="preserve"> The references sequences can </w:t>
      </w:r>
      <w:r w:rsidR="00937263">
        <w:t xml:space="preserve">optionally </w:t>
      </w:r>
      <w:r w:rsidR="006B5954">
        <w:t>be delivered to the decoder within the same MPEG-G file.</w:t>
      </w:r>
    </w:p>
    <w:p w14:paraId="32C1EC64" w14:textId="50482E7A" w:rsidR="00B81993" w:rsidRDefault="00EF3F65" w:rsidP="00B81993">
      <w:pPr>
        <w:pStyle w:val="ListParagraph"/>
        <w:numPr>
          <w:ilvl w:val="0"/>
          <w:numId w:val="7"/>
        </w:numPr>
      </w:pPr>
      <w:r w:rsidRPr="001A27D8">
        <w:rPr>
          <w:b/>
        </w:rPr>
        <w:t>Reference-free compression</w:t>
      </w:r>
      <w:r>
        <w:t>: I</w:t>
      </w:r>
      <w:r w:rsidR="00B81993">
        <w:t xml:space="preserve">n this approach the aligned sequences are compressed without referring to </w:t>
      </w:r>
      <w:r w:rsidR="00F0744C">
        <w:t xml:space="preserve">any </w:t>
      </w:r>
      <w:r w:rsidR="00B81993">
        <w:t xml:space="preserve">reference </w:t>
      </w:r>
      <w:r w:rsidR="00F0744C">
        <w:t>sequence</w:t>
      </w:r>
      <w:r w:rsidR="00B81993">
        <w:t>. In this case</w:t>
      </w:r>
      <w:r w:rsidR="000D4CBD">
        <w:t>,</w:t>
      </w:r>
      <w:r w:rsidR="00B81993">
        <w:t xml:space="preserve"> a local assembly</w:t>
      </w:r>
      <w:r w:rsidR="006B5954">
        <w:t xml:space="preserve"> of the underlying sequence</w:t>
      </w:r>
      <w:r w:rsidR="00B81993">
        <w:t xml:space="preserve"> is built per each group of read</w:t>
      </w:r>
      <w:r>
        <w:t>s,</w:t>
      </w:r>
      <w:r w:rsidR="00B81993">
        <w:t xml:space="preserve"> and reference-based compression is then applied with respect to the </w:t>
      </w:r>
      <w:r w:rsidR="00F0744C">
        <w:t xml:space="preserve">computed </w:t>
      </w:r>
      <w:r w:rsidR="00B81993">
        <w:t>local assembly. In this case</w:t>
      </w:r>
      <w:r w:rsidR="000D4CBD">
        <w:t>,</w:t>
      </w:r>
      <w:r w:rsidR="00B81993">
        <w:t xml:space="preserve"> there is no need to have access to </w:t>
      </w:r>
      <w:r w:rsidR="00937263">
        <w:t xml:space="preserve">any </w:t>
      </w:r>
      <w:r w:rsidR="00B81993">
        <w:t xml:space="preserve">reference </w:t>
      </w:r>
      <w:r w:rsidR="00E377D1">
        <w:t>sequences</w:t>
      </w:r>
      <w:r w:rsidR="00B81993">
        <w:t xml:space="preserve"> at the encoder or at the decoder side.</w:t>
      </w:r>
    </w:p>
    <w:p w14:paraId="496B5A36" w14:textId="1966556B" w:rsidR="00B81993" w:rsidRDefault="00B81993" w:rsidP="002C1292">
      <w:pPr>
        <w:pStyle w:val="Heading2"/>
      </w:pPr>
      <w:r>
        <w:t xml:space="preserve">Data </w:t>
      </w:r>
      <w:r w:rsidR="0063348D">
        <w:t>Classes</w:t>
      </w:r>
    </w:p>
    <w:p w14:paraId="29C2F7D6" w14:textId="3E445ED5" w:rsidR="00B81993" w:rsidRDefault="00B81993" w:rsidP="00B81993">
      <w:r>
        <w:t xml:space="preserve">Genomic Records are classified into six </w:t>
      </w:r>
      <w:r w:rsidR="0063348D">
        <w:t>Data C</w:t>
      </w:r>
      <w:r>
        <w:t xml:space="preserve">lasses according to the result of the primary </w:t>
      </w:r>
      <w:r w:rsidR="005D2B9F">
        <w:t>alignment</w:t>
      </w:r>
      <w:r>
        <w:t xml:space="preserve">(s) of their reads against one or more reference sequences as shown in </w:t>
      </w:r>
      <w:r>
        <w:fldChar w:fldCharType="begin"/>
      </w:r>
      <w:r>
        <w:instrText xml:space="preserve"> REF _Ref498353707 \h </w:instrText>
      </w:r>
      <w:r>
        <w:fldChar w:fldCharType="separate"/>
      </w:r>
      <w:r w:rsidR="00B65068">
        <w:t xml:space="preserve">Table </w:t>
      </w:r>
      <w:r w:rsidR="00B65068">
        <w:rPr>
          <w:noProof/>
        </w:rPr>
        <w:t>1</w:t>
      </w:r>
      <w:r>
        <w:fldChar w:fldCharType="end"/>
      </w:r>
      <w:r>
        <w:t>.</w:t>
      </w:r>
    </w:p>
    <w:p w14:paraId="6005EBFE" w14:textId="5FF6E6CC" w:rsidR="007C34D5" w:rsidRDefault="00756F9D" w:rsidP="00B81993">
      <w:r>
        <w:t>R</w:t>
      </w:r>
      <w:r w:rsidR="00B81993">
        <w:t>ecords are classified according to the type</w:t>
      </w:r>
      <w:r w:rsidR="007C34D5">
        <w:t>s</w:t>
      </w:r>
      <w:r w:rsidR="00B81993">
        <w:t xml:space="preserve"> of mismatches with respect to the reference sequences used for alignment.</w:t>
      </w:r>
    </w:p>
    <w:p w14:paraId="40CC5190" w14:textId="77777777" w:rsidR="00B81993" w:rsidRDefault="00B81993" w:rsidP="00B81993"/>
    <w:tbl>
      <w:tblPr>
        <w:tblStyle w:val="TableGrid"/>
        <w:tblW w:w="9355" w:type="dxa"/>
        <w:tblLook w:val="04A0" w:firstRow="1" w:lastRow="0" w:firstColumn="1" w:lastColumn="0" w:noHBand="0" w:noVBand="1"/>
      </w:tblPr>
      <w:tblGrid>
        <w:gridCol w:w="1435"/>
        <w:gridCol w:w="7920"/>
      </w:tblGrid>
      <w:tr w:rsidR="007F1E6C" w14:paraId="3DFEE312" w14:textId="735A7FAC" w:rsidTr="00390DA6">
        <w:tc>
          <w:tcPr>
            <w:tcW w:w="1435" w:type="dxa"/>
            <w:hideMark/>
          </w:tcPr>
          <w:p w14:paraId="78B11EFE" w14:textId="2F2340B6" w:rsidR="007F1E6C" w:rsidRPr="00161E24" w:rsidRDefault="007F1E6C" w:rsidP="00161E24">
            <w:pPr>
              <w:rPr>
                <w:b/>
              </w:rPr>
            </w:pPr>
            <w:r w:rsidRPr="00D17C5C">
              <w:rPr>
                <w:b/>
                <w:szCs w:val="22"/>
              </w:rPr>
              <w:t>Class name</w:t>
            </w:r>
          </w:p>
        </w:tc>
        <w:tc>
          <w:tcPr>
            <w:tcW w:w="7920" w:type="dxa"/>
          </w:tcPr>
          <w:p w14:paraId="7D0476EC" w14:textId="77777777" w:rsidR="007F1E6C" w:rsidRPr="00D17C5C" w:rsidRDefault="007F1E6C" w:rsidP="00F55CA9">
            <w:pPr>
              <w:ind w:left="-184" w:firstLine="184"/>
              <w:rPr>
                <w:b/>
                <w:szCs w:val="22"/>
              </w:rPr>
            </w:pPr>
            <w:r w:rsidRPr="00D17C5C">
              <w:rPr>
                <w:b/>
                <w:szCs w:val="22"/>
              </w:rPr>
              <w:t>Semantics</w:t>
            </w:r>
          </w:p>
        </w:tc>
      </w:tr>
      <w:tr w:rsidR="007F1E6C" w14:paraId="4510379E" w14:textId="77777777" w:rsidTr="00390DA6">
        <w:tc>
          <w:tcPr>
            <w:tcW w:w="1435" w:type="dxa"/>
            <w:shd w:val="clear" w:color="auto" w:fill="auto"/>
            <w:hideMark/>
          </w:tcPr>
          <w:p w14:paraId="7659F97C" w14:textId="141C31D6" w:rsidR="007F1E6C" w:rsidRPr="00B97FA9" w:rsidRDefault="007F1E6C" w:rsidP="00161E24">
            <w:r w:rsidRPr="00B97FA9">
              <w:t>P</w:t>
            </w:r>
          </w:p>
        </w:tc>
        <w:tc>
          <w:tcPr>
            <w:tcW w:w="7920" w:type="dxa"/>
            <w:hideMark/>
          </w:tcPr>
          <w:p w14:paraId="74C502FA" w14:textId="4FFF64FB" w:rsidR="007F1E6C" w:rsidRPr="00161E24" w:rsidRDefault="007F1E6C" w:rsidP="00161E24">
            <w:r w:rsidRPr="00161E24">
              <w:t>Reads perfectly matching to the reference sequence</w:t>
            </w:r>
            <w:r w:rsidRPr="00D17C5C">
              <w:rPr>
                <w:szCs w:val="22"/>
              </w:rPr>
              <w:t>.</w:t>
            </w:r>
          </w:p>
        </w:tc>
      </w:tr>
      <w:tr w:rsidR="007F1E6C" w14:paraId="163EDC74" w14:textId="77777777" w:rsidTr="00390DA6">
        <w:tc>
          <w:tcPr>
            <w:tcW w:w="1435" w:type="dxa"/>
            <w:shd w:val="clear" w:color="auto" w:fill="auto"/>
            <w:hideMark/>
          </w:tcPr>
          <w:p w14:paraId="1A32798C" w14:textId="18B0A255" w:rsidR="007F1E6C" w:rsidRPr="00B97FA9" w:rsidRDefault="007F1E6C" w:rsidP="00161E24">
            <w:r w:rsidRPr="00B97FA9">
              <w:t>N</w:t>
            </w:r>
          </w:p>
        </w:tc>
        <w:tc>
          <w:tcPr>
            <w:tcW w:w="7920" w:type="dxa"/>
            <w:hideMark/>
          </w:tcPr>
          <w:p w14:paraId="1D6DBED6" w14:textId="19A66252" w:rsidR="007F1E6C" w:rsidRPr="00161E24" w:rsidRDefault="007F1E6C" w:rsidP="00161E24">
            <w:r w:rsidRPr="00161E24">
              <w:t>Reads containing mismatches which are unknown bases only</w:t>
            </w:r>
            <w:r w:rsidRPr="00D17C5C">
              <w:rPr>
                <w:szCs w:val="22"/>
              </w:rPr>
              <w:t>.</w:t>
            </w:r>
          </w:p>
        </w:tc>
      </w:tr>
      <w:tr w:rsidR="007F1E6C" w14:paraId="69E30254" w14:textId="77777777" w:rsidTr="00390DA6">
        <w:tc>
          <w:tcPr>
            <w:tcW w:w="1435" w:type="dxa"/>
            <w:shd w:val="clear" w:color="auto" w:fill="auto"/>
            <w:hideMark/>
          </w:tcPr>
          <w:p w14:paraId="049C1746" w14:textId="6155A155" w:rsidR="007F1E6C" w:rsidRPr="00B97FA9" w:rsidRDefault="007F1E6C" w:rsidP="00161E24">
            <w:r>
              <w:rPr>
                <w:szCs w:val="22"/>
              </w:rPr>
              <w:t>M</w:t>
            </w:r>
          </w:p>
        </w:tc>
        <w:tc>
          <w:tcPr>
            <w:tcW w:w="7920" w:type="dxa"/>
            <w:hideMark/>
          </w:tcPr>
          <w:p w14:paraId="733596B1" w14:textId="2B98BDD4" w:rsidR="007F1E6C" w:rsidRPr="00161E24" w:rsidRDefault="007F1E6C" w:rsidP="00161E24">
            <w:r w:rsidRPr="00D17C5C">
              <w:rPr>
                <w:szCs w:val="22"/>
              </w:rPr>
              <w:t xml:space="preserve">Reads containing </w:t>
            </w:r>
            <w:r>
              <w:rPr>
                <w:szCs w:val="22"/>
              </w:rPr>
              <w:t xml:space="preserve">at least one substitution, and </w:t>
            </w:r>
            <w:r w:rsidR="007619AD">
              <w:rPr>
                <w:szCs w:val="22"/>
              </w:rPr>
              <w:t>possibly</w:t>
            </w:r>
            <w:r>
              <w:rPr>
                <w:szCs w:val="22"/>
              </w:rPr>
              <w:t xml:space="preserve"> unknown bases, but no insertions</w:t>
            </w:r>
            <w:r w:rsidRPr="00D17C5C">
              <w:rPr>
                <w:szCs w:val="22"/>
              </w:rPr>
              <w:t xml:space="preserve">, </w:t>
            </w:r>
            <w:r>
              <w:rPr>
                <w:szCs w:val="22"/>
              </w:rPr>
              <w:t>no deletions and no</w:t>
            </w:r>
            <w:r w:rsidRPr="00D17C5C">
              <w:rPr>
                <w:szCs w:val="22"/>
              </w:rPr>
              <w:t xml:space="preserve"> </w:t>
            </w:r>
            <w:r>
              <w:rPr>
                <w:szCs w:val="22"/>
              </w:rPr>
              <w:t>clipped bases</w:t>
            </w:r>
            <w:r w:rsidRPr="00D17C5C">
              <w:rPr>
                <w:szCs w:val="22"/>
              </w:rPr>
              <w:t>.</w:t>
            </w:r>
          </w:p>
        </w:tc>
      </w:tr>
      <w:tr w:rsidR="007F1E6C" w14:paraId="025BD806" w14:textId="77777777" w:rsidTr="00390DA6">
        <w:tc>
          <w:tcPr>
            <w:tcW w:w="1435" w:type="dxa"/>
            <w:shd w:val="clear" w:color="auto" w:fill="auto"/>
            <w:hideMark/>
          </w:tcPr>
          <w:p w14:paraId="44DD3E6F" w14:textId="2D1B324A" w:rsidR="007F1E6C" w:rsidRPr="00B97FA9" w:rsidRDefault="007F1E6C" w:rsidP="00161E24">
            <w:r w:rsidRPr="00B97FA9">
              <w:t>I</w:t>
            </w:r>
          </w:p>
        </w:tc>
        <w:tc>
          <w:tcPr>
            <w:tcW w:w="7920" w:type="dxa"/>
            <w:hideMark/>
          </w:tcPr>
          <w:p w14:paraId="76B11411" w14:textId="1DB73EDE" w:rsidR="007F1E6C" w:rsidRPr="00161E24" w:rsidRDefault="007F1E6C" w:rsidP="00161E24">
            <w:r w:rsidRPr="00161E24">
              <w:t xml:space="preserve">Reads containing </w:t>
            </w:r>
            <w:r>
              <w:rPr>
                <w:szCs w:val="22"/>
              </w:rPr>
              <w:t>at least one</w:t>
            </w:r>
            <w:r w:rsidRPr="00D17C5C">
              <w:rPr>
                <w:szCs w:val="22"/>
              </w:rPr>
              <w:t xml:space="preserve"> </w:t>
            </w:r>
            <w:r>
              <w:rPr>
                <w:szCs w:val="22"/>
              </w:rPr>
              <w:t>insertion</w:t>
            </w:r>
            <w:r w:rsidRPr="00D17C5C">
              <w:rPr>
                <w:szCs w:val="22"/>
              </w:rPr>
              <w:t xml:space="preserve">, </w:t>
            </w:r>
            <w:r>
              <w:rPr>
                <w:szCs w:val="22"/>
              </w:rPr>
              <w:t>deletion or</w:t>
            </w:r>
            <w:r w:rsidRPr="00D17C5C">
              <w:rPr>
                <w:szCs w:val="22"/>
              </w:rPr>
              <w:t xml:space="preserve"> </w:t>
            </w:r>
            <w:r>
              <w:rPr>
                <w:szCs w:val="22"/>
              </w:rPr>
              <w:t xml:space="preserve">clipped base, and </w:t>
            </w:r>
            <w:r w:rsidR="007619AD">
              <w:rPr>
                <w:szCs w:val="22"/>
              </w:rPr>
              <w:t>possibly</w:t>
            </w:r>
            <w:r>
              <w:rPr>
                <w:szCs w:val="22"/>
              </w:rPr>
              <w:t xml:space="preserve"> unknown bases or</w:t>
            </w:r>
            <w:r w:rsidRPr="00161E24">
              <w:t xml:space="preserve"> substitutions</w:t>
            </w:r>
            <w:r w:rsidRPr="00D17C5C">
              <w:rPr>
                <w:szCs w:val="22"/>
              </w:rPr>
              <w:t>.</w:t>
            </w:r>
          </w:p>
        </w:tc>
      </w:tr>
      <w:tr w:rsidR="007F1E6C" w14:paraId="27658B13" w14:textId="77777777" w:rsidTr="00390DA6">
        <w:tc>
          <w:tcPr>
            <w:tcW w:w="1435" w:type="dxa"/>
            <w:shd w:val="clear" w:color="auto" w:fill="auto"/>
            <w:hideMark/>
          </w:tcPr>
          <w:p w14:paraId="187B1DCC" w14:textId="076516C1" w:rsidR="007F1E6C" w:rsidRPr="00B97FA9" w:rsidRDefault="007F1E6C" w:rsidP="00161E24">
            <w:r w:rsidRPr="00B97FA9">
              <w:t>HM</w:t>
            </w:r>
          </w:p>
        </w:tc>
        <w:tc>
          <w:tcPr>
            <w:tcW w:w="7920" w:type="dxa"/>
            <w:hideMark/>
          </w:tcPr>
          <w:p w14:paraId="4632D6C1" w14:textId="66F37799" w:rsidR="007F1E6C" w:rsidRPr="00161E24" w:rsidRDefault="007F1E6C" w:rsidP="00161E24">
            <w:r w:rsidRPr="00161E24">
              <w:t>Half-mapped pairs where only one read is mapped</w:t>
            </w:r>
            <w:r w:rsidRPr="00D17C5C">
              <w:rPr>
                <w:szCs w:val="22"/>
              </w:rPr>
              <w:t>.</w:t>
            </w:r>
          </w:p>
        </w:tc>
      </w:tr>
      <w:tr w:rsidR="007F1E6C" w14:paraId="55AD32A1" w14:textId="77777777" w:rsidTr="00390DA6">
        <w:tc>
          <w:tcPr>
            <w:tcW w:w="1435" w:type="dxa"/>
            <w:shd w:val="clear" w:color="auto" w:fill="auto"/>
            <w:hideMark/>
          </w:tcPr>
          <w:p w14:paraId="7D950D06" w14:textId="4C26A3BC" w:rsidR="007F1E6C" w:rsidRPr="00B97FA9" w:rsidRDefault="007F1E6C" w:rsidP="00161E24">
            <w:r w:rsidRPr="00B97FA9">
              <w:t>U</w:t>
            </w:r>
          </w:p>
        </w:tc>
        <w:tc>
          <w:tcPr>
            <w:tcW w:w="7920" w:type="dxa"/>
            <w:hideMark/>
          </w:tcPr>
          <w:p w14:paraId="5A219710" w14:textId="774AC8E0" w:rsidR="007F1E6C" w:rsidRPr="00161E24" w:rsidRDefault="007F1E6C" w:rsidP="00161E24">
            <w:r w:rsidRPr="00161E24">
              <w:t>Unmapped reads</w:t>
            </w:r>
            <w:r w:rsidRPr="00D17C5C">
              <w:rPr>
                <w:szCs w:val="22"/>
              </w:rPr>
              <w:t>.</w:t>
            </w:r>
          </w:p>
        </w:tc>
      </w:tr>
    </w:tbl>
    <w:p w14:paraId="707C20F4" w14:textId="74DB0112" w:rsidR="00B81993" w:rsidRDefault="00B81993" w:rsidP="0029002B">
      <w:pPr>
        <w:pStyle w:val="Caption"/>
      </w:pPr>
      <w:bookmarkStart w:id="5" w:name="_Ref498353707"/>
      <w:r>
        <w:t xml:space="preserve">Table </w:t>
      </w:r>
      <w:fldSimple w:instr=" SEQ Table \* ARABIC ">
        <w:r w:rsidR="00B65068">
          <w:rPr>
            <w:noProof/>
          </w:rPr>
          <w:t>1</w:t>
        </w:r>
      </w:fldSimple>
      <w:bookmarkEnd w:id="5"/>
      <w:r>
        <w:t xml:space="preserve">. </w:t>
      </w:r>
      <w:r w:rsidR="007C34D5">
        <w:t>D</w:t>
      </w:r>
      <w:r>
        <w:t>ata classes defined in MPEG-G</w:t>
      </w:r>
      <w:r w:rsidR="00937263">
        <w:t>.</w:t>
      </w:r>
    </w:p>
    <w:p w14:paraId="7DA65EEC" w14:textId="09952EB5" w:rsidR="00B81993" w:rsidRDefault="00B81993" w:rsidP="002C1292">
      <w:pPr>
        <w:pStyle w:val="Heading2"/>
      </w:pPr>
      <w:r>
        <w:t xml:space="preserve">Access </w:t>
      </w:r>
      <w:r w:rsidR="0063348D">
        <w:t xml:space="preserve">Unit </w:t>
      </w:r>
      <w:r>
        <w:t>properties</w:t>
      </w:r>
    </w:p>
    <w:p w14:paraId="5DC06DC3" w14:textId="764656F9" w:rsidR="00B81993" w:rsidRDefault="00B81993" w:rsidP="00B81993">
      <w:r>
        <w:t xml:space="preserve">MPEG-G supports </w:t>
      </w:r>
      <w:r w:rsidR="007C34D5">
        <w:t xml:space="preserve">the </w:t>
      </w:r>
      <w:r>
        <w:t>description of alignments contained in Genomic Records by exposing the following information at the Access Unit level:</w:t>
      </w:r>
    </w:p>
    <w:p w14:paraId="3A3FC202" w14:textId="77777777" w:rsidR="00B81993" w:rsidRDefault="00B81993" w:rsidP="00B81993">
      <w:pPr>
        <w:pStyle w:val="ListParagraph"/>
        <w:numPr>
          <w:ilvl w:val="0"/>
          <w:numId w:val="8"/>
        </w:numPr>
      </w:pPr>
      <w:r>
        <w:t>Genomic Records count</w:t>
      </w:r>
    </w:p>
    <w:p w14:paraId="3B029D58" w14:textId="659FD335" w:rsidR="00B81993" w:rsidRDefault="00B81993" w:rsidP="00B81993">
      <w:pPr>
        <w:pStyle w:val="ListParagraph"/>
        <w:numPr>
          <w:ilvl w:val="0"/>
          <w:numId w:val="8"/>
        </w:numPr>
      </w:pPr>
      <w:r>
        <w:t xml:space="preserve">Number of Genomic Records with a </w:t>
      </w:r>
      <w:r w:rsidR="00E31DC0">
        <w:t xml:space="preserve">count </w:t>
      </w:r>
      <w:r>
        <w:t>of substitutions below a given threshold</w:t>
      </w:r>
      <w:r w:rsidR="009A0103">
        <w:t> </w:t>
      </w:r>
      <w:r>
        <w:t>(Class</w:t>
      </w:r>
      <w:r w:rsidR="003854F2">
        <w:t> </w:t>
      </w:r>
      <w:r>
        <w:t>M)</w:t>
      </w:r>
    </w:p>
    <w:p w14:paraId="6E5B11E8" w14:textId="77777777" w:rsidR="00B81993" w:rsidRDefault="00B81993" w:rsidP="00B81993">
      <w:pPr>
        <w:pStyle w:val="ListParagraph"/>
        <w:numPr>
          <w:ilvl w:val="0"/>
          <w:numId w:val="8"/>
        </w:numPr>
      </w:pPr>
      <w:r>
        <w:t>Presence of multiple alignments</w:t>
      </w:r>
    </w:p>
    <w:p w14:paraId="36CAE26D" w14:textId="77777777" w:rsidR="00B81993" w:rsidRDefault="00B81993" w:rsidP="00B81993">
      <w:pPr>
        <w:pStyle w:val="ListParagraph"/>
        <w:numPr>
          <w:ilvl w:val="0"/>
          <w:numId w:val="8"/>
        </w:numPr>
      </w:pPr>
      <w:r>
        <w:t>Presence of spliced reads</w:t>
      </w:r>
    </w:p>
    <w:p w14:paraId="205D2DDE" w14:textId="77777777" w:rsidR="00B81993" w:rsidRDefault="00B81993" w:rsidP="00B81993">
      <w:pPr>
        <w:pStyle w:val="ListParagraph"/>
        <w:numPr>
          <w:ilvl w:val="0"/>
          <w:numId w:val="8"/>
        </w:numPr>
      </w:pPr>
      <w:r>
        <w:t>Left-most and right-most mapped base for primary and secondary alignments</w:t>
      </w:r>
    </w:p>
    <w:p w14:paraId="31B54EF4" w14:textId="77777777" w:rsidR="00B81993" w:rsidRDefault="00B81993" w:rsidP="00B81993">
      <w:pPr>
        <w:pStyle w:val="ListParagraph"/>
        <w:numPr>
          <w:ilvl w:val="0"/>
          <w:numId w:val="8"/>
        </w:numPr>
      </w:pPr>
      <w:r>
        <w:t>Unmapped reads signature (Class U)</w:t>
      </w:r>
    </w:p>
    <w:p w14:paraId="50F89DB2" w14:textId="09FE68F8" w:rsidR="00B81993" w:rsidRDefault="00B81993" w:rsidP="00B81993">
      <w:pPr>
        <w:pStyle w:val="Heading2"/>
      </w:pPr>
      <w:r>
        <w:t>Selective access</w:t>
      </w:r>
    </w:p>
    <w:p w14:paraId="09358EA5" w14:textId="3B2D88B5" w:rsidR="00B81993" w:rsidRDefault="00B81993" w:rsidP="00B81993">
      <w:r>
        <w:t>The indexing tools embedded in a</w:t>
      </w:r>
      <w:r w:rsidR="007C34D5">
        <w:t>n</w:t>
      </w:r>
      <w:r>
        <w:t xml:space="preserve"> MPEG-G file enable the following type</w:t>
      </w:r>
      <w:r w:rsidR="007C34D5">
        <w:t>s</w:t>
      </w:r>
      <w:r>
        <w:t xml:space="preserve"> of selective access </w:t>
      </w:r>
      <w:r w:rsidR="005742BB">
        <w:t xml:space="preserve">that </w:t>
      </w:r>
      <w:r>
        <w:t>can be combined in the same query:</w:t>
      </w:r>
    </w:p>
    <w:p w14:paraId="66AE0942" w14:textId="77777777" w:rsidR="00B81993" w:rsidRDefault="00B81993" w:rsidP="00B81993">
      <w:pPr>
        <w:pStyle w:val="ListParagraph"/>
        <w:numPr>
          <w:ilvl w:val="0"/>
          <w:numId w:val="9"/>
        </w:numPr>
      </w:pPr>
      <w:r>
        <w:t>Genomic interval in terms of start to end mapping position on a given reference sequence</w:t>
      </w:r>
    </w:p>
    <w:p w14:paraId="3DA62775" w14:textId="5E01F0E7" w:rsidR="00B81993" w:rsidRDefault="00B81993" w:rsidP="00B81993">
      <w:pPr>
        <w:pStyle w:val="ListParagraph"/>
        <w:numPr>
          <w:ilvl w:val="0"/>
          <w:numId w:val="9"/>
        </w:numPr>
      </w:pPr>
      <w:r>
        <w:t>Type of data (i.e.</w:t>
      </w:r>
      <w:r w:rsidR="00B412F4">
        <w:t>,</w:t>
      </w:r>
      <w:r>
        <w:t xml:space="preserve"> a single data class)</w:t>
      </w:r>
    </w:p>
    <w:p w14:paraId="2A447E5C" w14:textId="125E4365" w:rsidR="00B81993" w:rsidRDefault="00B81993" w:rsidP="00B81993">
      <w:pPr>
        <w:pStyle w:val="ListParagraph"/>
        <w:numPr>
          <w:ilvl w:val="0"/>
          <w:numId w:val="9"/>
        </w:numPr>
      </w:pPr>
      <w:r>
        <w:t xml:space="preserve">Sequence reads with number of substitutions below/above a </w:t>
      </w:r>
      <w:r w:rsidR="007C34D5">
        <w:t xml:space="preserve">certain </w:t>
      </w:r>
      <w:r>
        <w:t>threshold</w:t>
      </w:r>
    </w:p>
    <w:p w14:paraId="20B05482" w14:textId="77777777" w:rsidR="00B81993" w:rsidRDefault="00B81993" w:rsidP="00B81993">
      <w:pPr>
        <w:pStyle w:val="ListParagraph"/>
        <w:numPr>
          <w:ilvl w:val="0"/>
          <w:numId w:val="9"/>
        </w:numPr>
      </w:pPr>
      <w:r>
        <w:t>Sequence reads with multiple alignments</w:t>
      </w:r>
    </w:p>
    <w:p w14:paraId="27A6C4D6" w14:textId="77777777" w:rsidR="00B81993" w:rsidRDefault="00B81993" w:rsidP="00B81993">
      <w:pPr>
        <w:pStyle w:val="ListParagraph"/>
        <w:numPr>
          <w:ilvl w:val="0"/>
          <w:numId w:val="9"/>
        </w:numPr>
      </w:pPr>
      <w:r>
        <w:t>Pattern matching on raw or unmapped reads</w:t>
      </w:r>
    </w:p>
    <w:p w14:paraId="000D964A" w14:textId="193417CB" w:rsidR="00B81993" w:rsidRDefault="00B81993" w:rsidP="00B81993">
      <w:pPr>
        <w:pStyle w:val="Heading2"/>
      </w:pPr>
      <w:r>
        <w:lastRenderedPageBreak/>
        <w:t>Data streaming</w:t>
      </w:r>
    </w:p>
    <w:p w14:paraId="7929B073" w14:textId="5CE24F02" w:rsidR="00143E53" w:rsidRDefault="00143E53" w:rsidP="00143E53">
      <w:r>
        <w:t xml:space="preserve">MPEG-G supports the packetization of compressed data for transport to receiving devices </w:t>
      </w:r>
      <w:r w:rsidR="004C08E6">
        <w:t xml:space="preserve">that </w:t>
      </w:r>
      <w:r>
        <w:t xml:space="preserve">can start processing </w:t>
      </w:r>
      <w:r w:rsidR="00AE66A7">
        <w:t xml:space="preserve">the </w:t>
      </w:r>
      <w:r>
        <w:t>data before transmission is completed. The main features of MPEG-G streaming are:</w:t>
      </w:r>
    </w:p>
    <w:p w14:paraId="4F631520" w14:textId="1E99EE3D" w:rsidR="00143E53" w:rsidRDefault="00143E53" w:rsidP="00143E53">
      <w:pPr>
        <w:pStyle w:val="ListParagraph"/>
        <w:numPr>
          <w:ilvl w:val="0"/>
          <w:numId w:val="10"/>
        </w:numPr>
      </w:pPr>
      <w:r>
        <w:t xml:space="preserve">Packet size adaptation to </w:t>
      </w:r>
      <w:r w:rsidR="00AE66A7">
        <w:t xml:space="preserve">the </w:t>
      </w:r>
      <w:r>
        <w:t>channel characteristics</w:t>
      </w:r>
      <w:r w:rsidR="00B412F4">
        <w:t>/state</w:t>
      </w:r>
    </w:p>
    <w:p w14:paraId="272E5574" w14:textId="12556132" w:rsidR="00143E53" w:rsidRDefault="00143E53" w:rsidP="00143E53">
      <w:pPr>
        <w:pStyle w:val="ListParagraph"/>
        <w:numPr>
          <w:ilvl w:val="0"/>
          <w:numId w:val="10"/>
        </w:numPr>
      </w:pPr>
      <w:r>
        <w:t>Error detection and support of re</w:t>
      </w:r>
      <w:r w:rsidR="00B412F4">
        <w:t>-</w:t>
      </w:r>
      <w:r>
        <w:t>transmission of erroneous/incomplete data for error-free delivery</w:t>
      </w:r>
    </w:p>
    <w:p w14:paraId="3790FB0A" w14:textId="77777777" w:rsidR="00143E53" w:rsidRDefault="00143E53" w:rsidP="00143E53">
      <w:pPr>
        <w:pStyle w:val="ListParagraph"/>
        <w:numPr>
          <w:ilvl w:val="0"/>
          <w:numId w:val="10"/>
        </w:numPr>
      </w:pPr>
      <w:r>
        <w:t>Support of out-of-order delivery</w:t>
      </w:r>
    </w:p>
    <w:p w14:paraId="4FFB7570" w14:textId="77777777" w:rsidR="00143E53" w:rsidRDefault="00143E53" w:rsidP="00143E53">
      <w:pPr>
        <w:pStyle w:val="ListParagraph"/>
        <w:numPr>
          <w:ilvl w:val="0"/>
          <w:numId w:val="10"/>
        </w:numPr>
      </w:pPr>
      <w:r>
        <w:t>On-the-fly indexing of streamed data</w:t>
      </w:r>
    </w:p>
    <w:p w14:paraId="28F14463" w14:textId="77777777" w:rsidR="00143E53" w:rsidRDefault="00143E53" w:rsidP="00AE66A7">
      <w:pPr>
        <w:pStyle w:val="ListParagraph"/>
        <w:numPr>
          <w:ilvl w:val="0"/>
          <w:numId w:val="10"/>
        </w:numPr>
      </w:pPr>
      <w:r>
        <w:t>Packet-based filtering of genomic data</w:t>
      </w:r>
    </w:p>
    <w:p w14:paraId="1A6DC34C" w14:textId="0A8C9495" w:rsidR="007C34D5" w:rsidRDefault="00143E53" w:rsidP="00B412F4">
      <w:pPr>
        <w:pStyle w:val="ListParagraph"/>
        <w:numPr>
          <w:ilvl w:val="0"/>
          <w:numId w:val="10"/>
        </w:numPr>
      </w:pPr>
      <w:r>
        <w:t xml:space="preserve">Full </w:t>
      </w:r>
      <w:r w:rsidR="008A2C12">
        <w:t>convertibility</w:t>
      </w:r>
      <w:r>
        <w:t xml:space="preserve"> of file and transport formats</w:t>
      </w:r>
    </w:p>
    <w:p w14:paraId="4E2CBDE4" w14:textId="77777777" w:rsidR="00C3771A" w:rsidRDefault="00C3771A" w:rsidP="00C3771A"/>
    <w:p w14:paraId="1CE774BD" w14:textId="2E8956D5" w:rsidR="00B81993" w:rsidRDefault="00796308" w:rsidP="00E43126">
      <w:r>
        <w:t xml:space="preserve">An illustration of the essential components of the MPEG-G transport format is shown in </w:t>
      </w:r>
      <w:r>
        <w:fldChar w:fldCharType="begin"/>
      </w:r>
      <w:r>
        <w:instrText xml:space="preserve"> REF _Ref498686391 \h </w:instrText>
      </w:r>
      <w:r>
        <w:fldChar w:fldCharType="separate"/>
      </w:r>
      <w:r w:rsidR="00B65068">
        <w:t xml:space="preserve">Figure </w:t>
      </w:r>
      <w:r w:rsidR="00B65068">
        <w:rPr>
          <w:noProof/>
        </w:rPr>
        <w:t>5</w:t>
      </w:r>
      <w:r>
        <w:fldChar w:fldCharType="end"/>
      </w:r>
      <w:r>
        <w:t>.</w:t>
      </w:r>
    </w:p>
    <w:p w14:paraId="34D32878" w14:textId="77777777" w:rsidR="00E43126" w:rsidRDefault="00E43126" w:rsidP="00E43126"/>
    <w:p w14:paraId="1798BD7D" w14:textId="7388833E" w:rsidR="00B81993" w:rsidRDefault="00B81993" w:rsidP="00B136FA">
      <w:pPr>
        <w:ind w:left="360"/>
      </w:pPr>
      <w:r w:rsidRPr="00161E24">
        <w:rPr>
          <w:noProof/>
          <w:lang w:val="fr-CH" w:eastAsia="fr-CH"/>
        </w:rPr>
        <w:drawing>
          <wp:inline distT="0" distB="0" distL="0" distR="0" wp14:anchorId="597FD199" wp14:editId="04D593BD">
            <wp:extent cx="5728447" cy="1425993"/>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7571" cy="1443200"/>
                    </a:xfrm>
                    <a:prstGeom prst="rect">
                      <a:avLst/>
                    </a:prstGeom>
                    <a:noFill/>
                    <a:ln>
                      <a:noFill/>
                    </a:ln>
                  </pic:spPr>
                </pic:pic>
              </a:graphicData>
            </a:graphic>
          </wp:inline>
        </w:drawing>
      </w:r>
    </w:p>
    <w:p w14:paraId="59AA3542" w14:textId="6BD2491D" w:rsidR="00B81993" w:rsidRDefault="00B81993" w:rsidP="0029002B">
      <w:pPr>
        <w:pStyle w:val="Caption"/>
        <w:ind w:left="360"/>
      </w:pPr>
      <w:bookmarkStart w:id="6" w:name="_Ref498686391"/>
      <w:r>
        <w:t xml:space="preserve">Figure </w:t>
      </w:r>
      <w:fldSimple w:instr=" SEQ Figure \* ARABIC ">
        <w:r w:rsidR="00B65068">
          <w:rPr>
            <w:noProof/>
          </w:rPr>
          <w:t>5</w:t>
        </w:r>
      </w:fldSimple>
      <w:bookmarkEnd w:id="6"/>
      <w:r>
        <w:t>. Illustration of the essential components</w:t>
      </w:r>
      <w:r w:rsidR="007C34D5">
        <w:t xml:space="preserve"> of the MPEG-G transport format</w:t>
      </w:r>
      <w:r w:rsidR="007F0BB2">
        <w:t>.</w:t>
      </w:r>
    </w:p>
    <w:p w14:paraId="7E3251D1" w14:textId="2E8D1AF3" w:rsidR="00F922C3" w:rsidRDefault="00F922C3" w:rsidP="00F922C3">
      <w:pPr>
        <w:pStyle w:val="Heading1"/>
      </w:pPr>
      <w:r>
        <w:t>Usage of the MPEG-G standard</w:t>
      </w:r>
    </w:p>
    <w:p w14:paraId="087BEF7F" w14:textId="14ECEB7D" w:rsidR="00B81993" w:rsidRDefault="00B81993" w:rsidP="00111AC7">
      <w:r>
        <w:t>The MPEG-G specification is not limited in scope to syntax, semantics and decoding process</w:t>
      </w:r>
      <w:r w:rsidR="004C08E6">
        <w:t xml:space="preserve"> specifications</w:t>
      </w:r>
      <w:r>
        <w:t xml:space="preserve">, </w:t>
      </w:r>
      <w:r w:rsidR="004C08E6">
        <w:t xml:space="preserve">as </w:t>
      </w:r>
      <w:r>
        <w:t xml:space="preserve">it </w:t>
      </w:r>
      <w:r w:rsidR="004C08E6">
        <w:t xml:space="preserve">also comprises </w:t>
      </w:r>
      <w:r>
        <w:t xml:space="preserve">normative </w:t>
      </w:r>
      <w:r w:rsidR="00D56465">
        <w:t>R</w:t>
      </w:r>
      <w:r>
        <w:t xml:space="preserve">eference </w:t>
      </w:r>
      <w:r w:rsidR="00D56465">
        <w:t>S</w:t>
      </w:r>
      <w:r>
        <w:t>oftware and</w:t>
      </w:r>
      <w:r w:rsidR="00874383">
        <w:t xml:space="preserve"> </w:t>
      </w:r>
      <w:r w:rsidR="00D56465">
        <w:t>C</w:t>
      </w:r>
      <w:r>
        <w:t xml:space="preserve">onformance </w:t>
      </w:r>
      <w:r w:rsidR="00874383">
        <w:t>t</w:t>
      </w:r>
      <w:r>
        <w:t>esting.</w:t>
      </w:r>
    </w:p>
    <w:p w14:paraId="48DCFF86" w14:textId="5A5517BB" w:rsidR="00874383" w:rsidRDefault="00874383" w:rsidP="00111AC7">
      <w:r>
        <w:t>The entire specification opens a wide range of possible usage</w:t>
      </w:r>
      <w:r w:rsidR="002C1292">
        <w:t xml:space="preserve"> s</w:t>
      </w:r>
      <w:r w:rsidR="00D56465">
        <w:t>cenario</w:t>
      </w:r>
      <w:r>
        <w:t xml:space="preserve">s and applications for the MPEG-G standard. New tools could be </w:t>
      </w:r>
      <w:r w:rsidR="00E257CB">
        <w:t>developed,</w:t>
      </w:r>
      <w:r w:rsidR="00D56465">
        <w:t xml:space="preserve"> and</w:t>
      </w:r>
      <w:r>
        <w:t xml:space="preserve"> existing tools could be improved using the new technology. </w:t>
      </w:r>
      <w:r w:rsidR="00E257CB">
        <w:t>This new combination of tools can be the start of entire genomic ecosystem</w:t>
      </w:r>
      <w:r w:rsidR="0029002B">
        <w:t>s</w:t>
      </w:r>
      <w:bookmarkStart w:id="7" w:name="_GoBack"/>
      <w:bookmarkEnd w:id="7"/>
      <w:r w:rsidR="00E257CB">
        <w:t xml:space="preserve"> fueled by MPEG-G, as depicted in </w:t>
      </w:r>
      <w:r w:rsidR="00992652">
        <w:fldChar w:fldCharType="begin"/>
      </w:r>
      <w:r w:rsidR="00992652">
        <w:instrText xml:space="preserve"> REF _Ref505588601 \h </w:instrText>
      </w:r>
      <w:r w:rsidR="00992652">
        <w:fldChar w:fldCharType="separate"/>
      </w:r>
      <w:r w:rsidR="00B65068">
        <w:t xml:space="preserve">Figure </w:t>
      </w:r>
      <w:r w:rsidR="00B65068">
        <w:rPr>
          <w:noProof/>
        </w:rPr>
        <w:t>6</w:t>
      </w:r>
      <w:r w:rsidR="00992652">
        <w:fldChar w:fldCharType="end"/>
      </w:r>
      <w:r w:rsidR="00E257CB">
        <w:t xml:space="preserve">. </w:t>
      </w:r>
      <w:r>
        <w:t xml:space="preserve">These tools could include </w:t>
      </w:r>
      <w:r w:rsidR="004C08E6">
        <w:t>retrieving</w:t>
      </w:r>
      <w:r>
        <w:t xml:space="preserve">, searching for, manipulating, or adding </w:t>
      </w:r>
      <w:r w:rsidR="00D56465">
        <w:t xml:space="preserve">genomic </w:t>
      </w:r>
      <w:r>
        <w:t>information elements</w:t>
      </w:r>
      <w:r w:rsidR="00D56465">
        <w:t xml:space="preserve"> – such as headers, information metadata, protection metadata, chromosomes, genes, parts of the previous structures, and many more – </w:t>
      </w:r>
      <w:r>
        <w:t xml:space="preserve"> based on the concepts specified </w:t>
      </w:r>
      <w:r w:rsidR="006F37F0">
        <w:t>and supported by</w:t>
      </w:r>
      <w:r>
        <w:t xml:space="preserve"> the MPEG-G standard.</w:t>
      </w:r>
    </w:p>
    <w:p w14:paraId="6C1D9200" w14:textId="4576FED0" w:rsidR="00E257CB" w:rsidRDefault="00E257CB" w:rsidP="00111AC7"/>
    <w:p w14:paraId="69495E1A" w14:textId="47F0A675" w:rsidR="00E257CB" w:rsidRDefault="00041A92" w:rsidP="00AF37CA">
      <w:pPr>
        <w:keepNext/>
        <w:jc w:val="center"/>
      </w:pPr>
      <w:r w:rsidRPr="00161E24">
        <w:rPr>
          <w:noProof/>
          <w:lang w:val="fr-CH" w:eastAsia="fr-CH"/>
        </w:rPr>
        <w:lastRenderedPageBreak/>
        <w:drawing>
          <wp:inline distT="0" distB="0" distL="0" distR="0" wp14:anchorId="74A5E902" wp14:editId="63476DFE">
            <wp:extent cx="5421313" cy="3228448"/>
            <wp:effectExtent l="0" t="0" r="825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EG-G_Ecosyste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41896" cy="3240706"/>
                    </a:xfrm>
                    <a:prstGeom prst="rect">
                      <a:avLst/>
                    </a:prstGeom>
                  </pic:spPr>
                </pic:pic>
              </a:graphicData>
            </a:graphic>
          </wp:inline>
        </w:drawing>
      </w:r>
    </w:p>
    <w:p w14:paraId="011A524D" w14:textId="0D4BA525" w:rsidR="00E257CB" w:rsidRDefault="00E257CB" w:rsidP="00AF37CA">
      <w:pPr>
        <w:pStyle w:val="Caption"/>
        <w:jc w:val="center"/>
      </w:pPr>
      <w:bookmarkStart w:id="8" w:name="_Ref505588601"/>
      <w:r>
        <w:t xml:space="preserve">Figure </w:t>
      </w:r>
      <w:fldSimple w:instr=" SEQ Figure \* ARABIC ">
        <w:r w:rsidR="00B65068">
          <w:rPr>
            <w:noProof/>
          </w:rPr>
          <w:t>6</w:t>
        </w:r>
      </w:fldSimple>
      <w:bookmarkEnd w:id="8"/>
      <w:r>
        <w:t>: A genomic ecosystem fueled by MPEG-G</w:t>
      </w:r>
      <w:r w:rsidR="007F0BB2">
        <w:t>.</w:t>
      </w:r>
    </w:p>
    <w:p w14:paraId="327B8D2E" w14:textId="2A52586B" w:rsidR="00B81993" w:rsidRDefault="00874383" w:rsidP="00B81993">
      <w:r>
        <w:t xml:space="preserve">To support and guide potential implementers of MPEG-G, the standard will include a normative Reference Software. </w:t>
      </w:r>
      <w:r w:rsidR="00B81993">
        <w:t xml:space="preserve">The Reference </w:t>
      </w:r>
      <w:r w:rsidR="007033E1">
        <w:t>S</w:t>
      </w:r>
      <w:r w:rsidR="00B81993">
        <w:t xml:space="preserve">oftware is normative in the sense that any conforming implementation of the decoder, taking the same conformant </w:t>
      </w:r>
      <w:r w:rsidR="00D12C4D">
        <w:t xml:space="preserve">compressed </w:t>
      </w:r>
      <w:r w:rsidR="00B81993">
        <w:t xml:space="preserve">bitstreams, using the same normative output data structures, will output the same data. That said, complying MPEG-G implementations are not expected to follow the </w:t>
      </w:r>
      <w:r w:rsidR="00E257CB">
        <w:t>algorithms,</w:t>
      </w:r>
      <w:r w:rsidR="00B81993">
        <w:t xml:space="preserve"> or the programming techniques used by the </w:t>
      </w:r>
      <w:r w:rsidR="00D56465">
        <w:t>R</w:t>
      </w:r>
      <w:r w:rsidR="00B81993">
        <w:t xml:space="preserve">eference </w:t>
      </w:r>
      <w:r w:rsidR="00D56465">
        <w:t>S</w:t>
      </w:r>
      <w:r w:rsidR="00B81993">
        <w:t xml:space="preserve">oftware: </w:t>
      </w:r>
      <w:r w:rsidR="006F37F0">
        <w:t>such</w:t>
      </w:r>
      <w:r w:rsidR="00B81993">
        <w:t xml:space="preserve"> software is </w:t>
      </w:r>
      <w:r w:rsidR="006F37F0">
        <w:t xml:space="preserve">solely </w:t>
      </w:r>
      <w:r w:rsidR="00B81993">
        <w:t xml:space="preserve">intended as a support to the </w:t>
      </w:r>
      <w:r w:rsidR="006F37F0">
        <w:t xml:space="preserve">process of developing </w:t>
      </w:r>
      <w:r w:rsidR="00B81993">
        <w:t>implementation</w:t>
      </w:r>
      <w:r w:rsidR="006F37F0">
        <w:t>s</w:t>
      </w:r>
      <w:r w:rsidR="00B81993">
        <w:t xml:space="preserve"> of an ecosystem of compliant devices and applications</w:t>
      </w:r>
      <w:r w:rsidR="006F37F0">
        <w:t>.</w:t>
      </w:r>
      <w:r w:rsidR="00B81993">
        <w:t xml:space="preserve"> </w:t>
      </w:r>
      <w:r w:rsidR="006F37F0">
        <w:t>T</w:t>
      </w:r>
      <w:r w:rsidR="00B81993">
        <w:t>he availability of a normative implementation covering the technolo</w:t>
      </w:r>
      <w:r>
        <w:t>gy of the MPEG-G specification</w:t>
      </w:r>
      <w:r w:rsidR="006F37F0">
        <w:t xml:space="preserve"> is only an additional support to the textual specification</w:t>
      </w:r>
      <w:r>
        <w:t>.</w:t>
      </w:r>
    </w:p>
    <w:p w14:paraId="48E3F873" w14:textId="205D379B" w:rsidR="00B81993" w:rsidRDefault="006F37F0" w:rsidP="00B81993">
      <w:r>
        <w:t>Thus, a</w:t>
      </w:r>
      <w:r w:rsidR="00B81993">
        <w:t xml:space="preserve">lthough the </w:t>
      </w:r>
      <w:r>
        <w:t>Reference</w:t>
      </w:r>
      <w:r w:rsidR="00B81993">
        <w:t xml:space="preserve"> </w:t>
      </w:r>
      <w:r>
        <w:t>S</w:t>
      </w:r>
      <w:r w:rsidR="00B81993">
        <w:t>oftware is considered normative</w:t>
      </w:r>
      <w:r w:rsidR="00EB7827">
        <w:t xml:space="preserve"> in terms of the</w:t>
      </w:r>
      <w:r>
        <w:t xml:space="preserve"> semantics</w:t>
      </w:r>
      <w:r w:rsidR="00EB7827">
        <w:t xml:space="preserve"> of the decoding process</w:t>
      </w:r>
      <w:r w:rsidR="00B81993">
        <w:t xml:space="preserve">, it </w:t>
      </w:r>
      <w:r>
        <w:t>does not</w:t>
      </w:r>
      <w:r w:rsidR="00B81993">
        <w:t xml:space="preserve"> add anything to the textual technical </w:t>
      </w:r>
      <w:r>
        <w:t>specification</w:t>
      </w:r>
      <w:r w:rsidR="00B81993">
        <w:t xml:space="preserve"> of </w:t>
      </w:r>
      <w:r w:rsidR="00874383">
        <w:t xml:space="preserve">the </w:t>
      </w:r>
      <w:r w:rsidR="00B81993">
        <w:t>MPEG-G</w:t>
      </w:r>
      <w:r w:rsidR="00874383">
        <w:t xml:space="preserve"> standard</w:t>
      </w:r>
      <w:r w:rsidR="00B81993">
        <w:t>.</w:t>
      </w:r>
      <w:r>
        <w:t xml:space="preserve"> </w:t>
      </w:r>
      <w:r w:rsidR="00EB7827">
        <w:t xml:space="preserve">It has also to be underlined that being its objective to support the specification, </w:t>
      </w:r>
      <w:r w:rsidR="00756F9D">
        <w:t xml:space="preserve">the Reference Software </w:t>
      </w:r>
      <w:r w:rsidR="00EB7827">
        <w:t xml:space="preserve">has not to be intended as an efficient implementation of an MPEG-G standard decoder </w:t>
      </w:r>
      <w:r w:rsidR="00756F9D">
        <w:t xml:space="preserve">to be used </w:t>
      </w:r>
      <w:r w:rsidR="00EB7827">
        <w:t>as a benchmark of performance for sequential or parallel implementations.</w:t>
      </w:r>
    </w:p>
    <w:p w14:paraId="28D1FBDD" w14:textId="1AB81C30" w:rsidR="00B81993" w:rsidRDefault="00B81993" w:rsidP="00B81993"/>
    <w:p w14:paraId="3AA85323" w14:textId="332AE6B0" w:rsidR="00B81993" w:rsidRDefault="00D14D7E" w:rsidP="00B81993">
      <w:r>
        <w:t xml:space="preserve">Finally, the </w:t>
      </w:r>
      <w:r w:rsidR="00B81993">
        <w:t>MPEG-G</w:t>
      </w:r>
      <w:r w:rsidR="00D31ECE">
        <w:t xml:space="preserve"> standard</w:t>
      </w:r>
      <w:r>
        <w:t xml:space="preserve"> includes</w:t>
      </w:r>
      <w:r w:rsidR="00B81993">
        <w:t xml:space="preserve"> Conformance</w:t>
      </w:r>
      <w:r>
        <w:t>.</w:t>
      </w:r>
      <w:r w:rsidR="00B81993">
        <w:t xml:space="preserve"> </w:t>
      </w:r>
      <w:r>
        <w:t xml:space="preserve">This part of the standard </w:t>
      </w:r>
      <w:r w:rsidR="00B81993">
        <w:t xml:space="preserve">is fundamental </w:t>
      </w:r>
      <w:r w:rsidR="006C45D3">
        <w:t xml:space="preserve">in </w:t>
      </w:r>
      <w:r w:rsidR="00B81993">
        <w:t>provid</w:t>
      </w:r>
      <w:r w:rsidR="006C45D3">
        <w:t>ing</w:t>
      </w:r>
      <w:r w:rsidR="00B81993">
        <w:t xml:space="preserve"> means to </w:t>
      </w:r>
      <w:r w:rsidR="00EB7827">
        <w:t>test and validate</w:t>
      </w:r>
      <w:r w:rsidR="00B81993">
        <w:t xml:space="preserve"> the </w:t>
      </w:r>
      <w:r w:rsidR="00EB7827">
        <w:t>correct implementation</w:t>
      </w:r>
      <w:r w:rsidR="00516D4F">
        <w:t xml:space="preserve"> </w:t>
      </w:r>
      <w:r w:rsidR="00B81993">
        <w:t xml:space="preserve">of the </w:t>
      </w:r>
      <w:r w:rsidR="00EB7827">
        <w:t xml:space="preserve">MPEG-G </w:t>
      </w:r>
      <w:r w:rsidR="00B81993">
        <w:t xml:space="preserve">technology </w:t>
      </w:r>
      <w:r w:rsidR="00EB7827">
        <w:t xml:space="preserve">in different devices and applications </w:t>
      </w:r>
      <w:r w:rsidR="00B81993">
        <w:t xml:space="preserve">and the interoperability among </w:t>
      </w:r>
      <w:r w:rsidR="00516D4F">
        <w:t xml:space="preserve">all </w:t>
      </w:r>
      <w:r w:rsidR="00B81993">
        <w:t>systems</w:t>
      </w:r>
      <w:r w:rsidR="006C45D3">
        <w:t>.</w:t>
      </w:r>
      <w:r w:rsidR="00B81993">
        <w:t xml:space="preserve"> </w:t>
      </w:r>
      <w:r w:rsidR="006C45D3">
        <w:t>C</w:t>
      </w:r>
      <w:r w:rsidR="00B81993">
        <w:t>onformance testing specifies a normative procedure to assess conformity to the standard on an exhaustive dataset</w:t>
      </w:r>
      <w:r w:rsidR="00EB7827">
        <w:t xml:space="preserve"> of compressed data</w:t>
      </w:r>
      <w:r w:rsidR="00B81993">
        <w:t xml:space="preserve">: every decoder claiming MPEG-G </w:t>
      </w:r>
      <w:r w:rsidR="00EB7827">
        <w:t>conformance</w:t>
      </w:r>
      <w:r w:rsidR="00B81993">
        <w:t xml:space="preserve"> will have to demonstrate the correct decoding of the complete </w:t>
      </w:r>
      <w:r w:rsidR="00D56465">
        <w:t>C</w:t>
      </w:r>
      <w:r w:rsidR="00B81993">
        <w:t>onformance testbed.</w:t>
      </w:r>
    </w:p>
    <w:p w14:paraId="03568F68" w14:textId="3FCBA479" w:rsidR="003B6D1A" w:rsidRPr="003B6D1A" w:rsidRDefault="007702AB" w:rsidP="003B6D1A">
      <w:pPr>
        <w:pStyle w:val="Heading1"/>
      </w:pPr>
      <w:r>
        <w:t>References</w:t>
      </w:r>
    </w:p>
    <w:p w14:paraId="44960B9F" w14:textId="794050FD" w:rsidR="007304D3" w:rsidRPr="007304D3" w:rsidRDefault="007702AB" w:rsidP="007304D3">
      <w:pPr>
        <w:widowControl w:val="0"/>
        <w:autoSpaceDE w:val="0"/>
        <w:autoSpaceDN w:val="0"/>
        <w:adjustRightInd w:val="0"/>
        <w:ind w:left="640" w:hanging="640"/>
        <w:rPr>
          <w:noProof/>
        </w:rPr>
      </w:pPr>
      <w:r>
        <w:fldChar w:fldCharType="begin" w:fldLock="1"/>
      </w:r>
      <w:r>
        <w:instrText xml:space="preserve">ADDIN Mendeley Bibliography CSL_BIBLIOGRAPHY </w:instrText>
      </w:r>
      <w:r>
        <w:fldChar w:fldCharType="separate"/>
      </w:r>
      <w:r w:rsidR="007304D3" w:rsidRPr="007304D3">
        <w:rPr>
          <w:noProof/>
        </w:rPr>
        <w:t>[1]</w:t>
      </w:r>
      <w:r w:rsidR="007304D3" w:rsidRPr="007304D3">
        <w:rPr>
          <w:noProof/>
        </w:rPr>
        <w:tab/>
        <w:t xml:space="preserve">S. D. Kahn, “On the Future of Genomic Data,” </w:t>
      </w:r>
      <w:r w:rsidR="007304D3" w:rsidRPr="007304D3">
        <w:rPr>
          <w:i/>
          <w:iCs/>
          <w:noProof/>
        </w:rPr>
        <w:t>Science</w:t>
      </w:r>
      <w:r w:rsidR="007304D3" w:rsidRPr="007304D3">
        <w:rPr>
          <w:noProof/>
        </w:rPr>
        <w:t>, vol. 331, no. 6018, pp. 728–729, Feb. 2011.</w:t>
      </w:r>
    </w:p>
    <w:p w14:paraId="4B48A449" w14:textId="77777777" w:rsidR="007304D3" w:rsidRPr="007304D3" w:rsidRDefault="007304D3" w:rsidP="007304D3">
      <w:pPr>
        <w:widowControl w:val="0"/>
        <w:autoSpaceDE w:val="0"/>
        <w:autoSpaceDN w:val="0"/>
        <w:adjustRightInd w:val="0"/>
        <w:ind w:left="640" w:hanging="640"/>
        <w:rPr>
          <w:noProof/>
        </w:rPr>
      </w:pPr>
      <w:r w:rsidRPr="007304D3">
        <w:rPr>
          <w:noProof/>
        </w:rPr>
        <w:t>[2]</w:t>
      </w:r>
      <w:r w:rsidRPr="007304D3">
        <w:rPr>
          <w:noProof/>
        </w:rPr>
        <w:tab/>
        <w:t xml:space="preserve">I. Numanagić, J. K. Bonfield, F. Hach, J. Voges, J. Ostermann, C. Alberti, M. Mattavelli, and S. C. Sahinalp, “Comparison of high-throughput sequencing data compression tools,” </w:t>
      </w:r>
      <w:r w:rsidRPr="007304D3">
        <w:rPr>
          <w:i/>
          <w:iCs/>
          <w:noProof/>
        </w:rPr>
        <w:t>Nat. Methods</w:t>
      </w:r>
      <w:r w:rsidRPr="007304D3">
        <w:rPr>
          <w:noProof/>
        </w:rPr>
        <w:t>, vol. 13, no. 12, pp. 1005–1008, Dec. 2016.</w:t>
      </w:r>
    </w:p>
    <w:p w14:paraId="3CD366FA" w14:textId="77777777" w:rsidR="007304D3" w:rsidRPr="007304D3" w:rsidRDefault="007304D3" w:rsidP="007304D3">
      <w:pPr>
        <w:widowControl w:val="0"/>
        <w:autoSpaceDE w:val="0"/>
        <w:autoSpaceDN w:val="0"/>
        <w:adjustRightInd w:val="0"/>
        <w:ind w:left="640" w:hanging="640"/>
        <w:rPr>
          <w:noProof/>
        </w:rPr>
      </w:pPr>
      <w:r w:rsidRPr="007304D3">
        <w:rPr>
          <w:noProof/>
        </w:rPr>
        <w:t>[3]</w:t>
      </w:r>
      <w:r w:rsidRPr="007304D3">
        <w:rPr>
          <w:noProof/>
        </w:rPr>
        <w:tab/>
        <w:t xml:space="preserve">Z. D. Stephens, S. Y. Lee, F. Faghri, R. H. Campbell, C. Zhai, M. J. Efron, R. Iyer, M. C. Schatz, S. Sinha, and G. E. Robinson, “Big Data: Astronomical or Genomical?,” </w:t>
      </w:r>
      <w:r w:rsidRPr="007304D3">
        <w:rPr>
          <w:i/>
          <w:iCs/>
          <w:noProof/>
        </w:rPr>
        <w:t xml:space="preserve">PLOS </w:t>
      </w:r>
      <w:r w:rsidRPr="007304D3">
        <w:rPr>
          <w:i/>
          <w:iCs/>
          <w:noProof/>
        </w:rPr>
        <w:lastRenderedPageBreak/>
        <w:t>Biol.</w:t>
      </w:r>
      <w:r w:rsidRPr="007304D3">
        <w:rPr>
          <w:noProof/>
        </w:rPr>
        <w:t>, vol. 13, no. 7, p. e1002195, Jul. 2015.</w:t>
      </w:r>
    </w:p>
    <w:p w14:paraId="15225239" w14:textId="77777777" w:rsidR="007304D3" w:rsidRPr="007304D3" w:rsidRDefault="007304D3" w:rsidP="007304D3">
      <w:pPr>
        <w:widowControl w:val="0"/>
        <w:autoSpaceDE w:val="0"/>
        <w:autoSpaceDN w:val="0"/>
        <w:adjustRightInd w:val="0"/>
        <w:ind w:left="640" w:hanging="640"/>
        <w:rPr>
          <w:noProof/>
        </w:rPr>
      </w:pPr>
      <w:r w:rsidRPr="007304D3">
        <w:rPr>
          <w:noProof/>
        </w:rPr>
        <w:t>[4]</w:t>
      </w:r>
      <w:r w:rsidRPr="007304D3">
        <w:rPr>
          <w:noProof/>
        </w:rPr>
        <w:tab/>
        <w:t xml:space="preserve">I. Ochoa, M. Hernaez, R. Goldfeder, T. Weissman, and E. Ashley, “Effect of lossy compression of quality scores on variant calling,” </w:t>
      </w:r>
      <w:r w:rsidRPr="007304D3">
        <w:rPr>
          <w:i/>
          <w:iCs/>
          <w:noProof/>
        </w:rPr>
        <w:t>Brief. Bioinform.</w:t>
      </w:r>
      <w:r w:rsidRPr="007304D3">
        <w:rPr>
          <w:noProof/>
        </w:rPr>
        <w:t>, vol. 18, no. 2, pp. 183–194, Mar. 2016.</w:t>
      </w:r>
    </w:p>
    <w:p w14:paraId="60B92088" w14:textId="77777777" w:rsidR="007304D3" w:rsidRPr="007304D3" w:rsidRDefault="007304D3" w:rsidP="007304D3">
      <w:pPr>
        <w:widowControl w:val="0"/>
        <w:autoSpaceDE w:val="0"/>
        <w:autoSpaceDN w:val="0"/>
        <w:adjustRightInd w:val="0"/>
        <w:ind w:left="640" w:hanging="640"/>
        <w:rPr>
          <w:noProof/>
        </w:rPr>
      </w:pPr>
      <w:r w:rsidRPr="007304D3">
        <w:rPr>
          <w:noProof/>
        </w:rPr>
        <w:t>[5]</w:t>
      </w:r>
      <w:r w:rsidRPr="007304D3">
        <w:rPr>
          <w:noProof/>
        </w:rPr>
        <w:tab/>
        <w:t xml:space="preserve">Y. W. Yu, D. Yorukoglu, J. Peng, and B. Berger, “Quality score compression improves genotyping accuracy,” </w:t>
      </w:r>
      <w:r w:rsidRPr="007304D3">
        <w:rPr>
          <w:i/>
          <w:iCs/>
          <w:noProof/>
        </w:rPr>
        <w:t>Nat. Biotechnol.</w:t>
      </w:r>
      <w:r w:rsidRPr="007304D3">
        <w:rPr>
          <w:noProof/>
        </w:rPr>
        <w:t>, vol. 33, no. 3, pp. 240–243, Mar. 2015.</w:t>
      </w:r>
    </w:p>
    <w:p w14:paraId="3921FAB7" w14:textId="77777777" w:rsidR="007304D3" w:rsidRPr="007304D3" w:rsidRDefault="007304D3" w:rsidP="007304D3">
      <w:pPr>
        <w:widowControl w:val="0"/>
        <w:autoSpaceDE w:val="0"/>
        <w:autoSpaceDN w:val="0"/>
        <w:adjustRightInd w:val="0"/>
        <w:ind w:left="640" w:hanging="640"/>
        <w:rPr>
          <w:noProof/>
        </w:rPr>
      </w:pPr>
      <w:r w:rsidRPr="007304D3">
        <w:rPr>
          <w:noProof/>
        </w:rPr>
        <w:t>[6]</w:t>
      </w:r>
      <w:r w:rsidRPr="007304D3">
        <w:rPr>
          <w:noProof/>
        </w:rPr>
        <w:tab/>
        <w:t xml:space="preserve">L. Chiariglione, Ed., </w:t>
      </w:r>
      <w:r w:rsidRPr="007304D3">
        <w:rPr>
          <w:i/>
          <w:iCs/>
          <w:noProof/>
        </w:rPr>
        <w:t>The MPEG Representation of Digital Media</w:t>
      </w:r>
      <w:r w:rsidRPr="007304D3">
        <w:rPr>
          <w:noProof/>
        </w:rPr>
        <w:t>, 1st ed. Springer New York, 2012.</w:t>
      </w:r>
    </w:p>
    <w:p w14:paraId="679C1B3D" w14:textId="77777777" w:rsidR="007304D3" w:rsidRPr="007304D3" w:rsidRDefault="007304D3" w:rsidP="007304D3">
      <w:pPr>
        <w:widowControl w:val="0"/>
        <w:autoSpaceDE w:val="0"/>
        <w:autoSpaceDN w:val="0"/>
        <w:adjustRightInd w:val="0"/>
        <w:ind w:left="640" w:hanging="640"/>
        <w:rPr>
          <w:noProof/>
        </w:rPr>
      </w:pPr>
      <w:r w:rsidRPr="007304D3">
        <w:rPr>
          <w:noProof/>
        </w:rPr>
        <w:t>[7]</w:t>
      </w:r>
      <w:r w:rsidRPr="007304D3">
        <w:rPr>
          <w:noProof/>
        </w:rPr>
        <w:tab/>
        <w:t xml:space="preserve">H. Li, B. Handsaker, A. Wysoker, T. Fennell, J. Ruan, N. Homer, G. Marth, G. Abecasis, and R. Durbin, “The Sequence Alignment/Map format and SAMtools,” </w:t>
      </w:r>
      <w:r w:rsidRPr="007304D3">
        <w:rPr>
          <w:i/>
          <w:iCs/>
          <w:noProof/>
        </w:rPr>
        <w:t>Bioinformatics</w:t>
      </w:r>
      <w:r w:rsidRPr="007304D3">
        <w:rPr>
          <w:noProof/>
        </w:rPr>
        <w:t>, vol. 25, no. 16, pp. 2078–2079, 2009.</w:t>
      </w:r>
    </w:p>
    <w:p w14:paraId="58AC4208" w14:textId="2A2BDE44" w:rsidR="003B6D1A" w:rsidRPr="00187F57" w:rsidRDefault="007702AB" w:rsidP="00187F57">
      <w:r>
        <w:fldChar w:fldCharType="end"/>
      </w:r>
    </w:p>
    <w:sectPr w:rsidR="003B6D1A" w:rsidRPr="00187F57">
      <w:pgSz w:w="11907" w:h="16840"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D1183" w14:textId="77777777" w:rsidR="00772E4E" w:rsidRDefault="00772E4E">
      <w:r>
        <w:separator/>
      </w:r>
    </w:p>
  </w:endnote>
  <w:endnote w:type="continuationSeparator" w:id="0">
    <w:p w14:paraId="68C60E04" w14:textId="77777777" w:rsidR="00772E4E" w:rsidRDefault="00772E4E">
      <w:r>
        <w:continuationSeparator/>
      </w:r>
    </w:p>
  </w:endnote>
  <w:endnote w:type="continuationNotice" w:id="1">
    <w:p w14:paraId="60A0DD57" w14:textId="77777777" w:rsidR="00772E4E" w:rsidRDefault="00772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4630D" w14:textId="77777777" w:rsidR="00772E4E" w:rsidRDefault="00772E4E">
      <w:r>
        <w:separator/>
      </w:r>
    </w:p>
  </w:footnote>
  <w:footnote w:type="continuationSeparator" w:id="0">
    <w:p w14:paraId="10A1F983" w14:textId="77777777" w:rsidR="00772E4E" w:rsidRDefault="00772E4E">
      <w:r>
        <w:continuationSeparator/>
      </w:r>
    </w:p>
  </w:footnote>
  <w:footnote w:type="continuationNotice" w:id="1">
    <w:p w14:paraId="2EF4AE43" w14:textId="77777777" w:rsidR="00772E4E" w:rsidRDefault="00772E4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301"/>
    <w:multiLevelType w:val="hybridMultilevel"/>
    <w:tmpl w:val="D6A2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5263"/>
    <w:multiLevelType w:val="hybridMultilevel"/>
    <w:tmpl w:val="CB58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15644"/>
    <w:multiLevelType w:val="hybridMultilevel"/>
    <w:tmpl w:val="5DD07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47254"/>
    <w:multiLevelType w:val="hybridMultilevel"/>
    <w:tmpl w:val="5CA2474E"/>
    <w:lvl w:ilvl="0" w:tplc="37E0026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591F7A"/>
    <w:multiLevelType w:val="hybridMultilevel"/>
    <w:tmpl w:val="E0FA7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E4187"/>
    <w:multiLevelType w:val="hybridMultilevel"/>
    <w:tmpl w:val="54B88FC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41BF7B3D"/>
    <w:multiLevelType w:val="hybridMultilevel"/>
    <w:tmpl w:val="3E909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888588E"/>
    <w:multiLevelType w:val="hybridMultilevel"/>
    <w:tmpl w:val="168C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9B65B2"/>
    <w:multiLevelType w:val="hybridMultilevel"/>
    <w:tmpl w:val="9814AA46"/>
    <w:lvl w:ilvl="0" w:tplc="901886E6">
      <w:numFmt w:val="bullet"/>
      <w:lvlText w:val=""/>
      <w:lvlJc w:val="left"/>
      <w:pPr>
        <w:ind w:left="720" w:hanging="360"/>
      </w:pPr>
      <w:rPr>
        <w:rFonts w:ascii="Wingdings" w:eastAsia="Times New Roman"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2107B"/>
    <w:multiLevelType w:val="hybridMultilevel"/>
    <w:tmpl w:val="F97EE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D41F71"/>
    <w:multiLevelType w:val="hybridMultilevel"/>
    <w:tmpl w:val="F8187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4DD4D95"/>
    <w:multiLevelType w:val="hybridMultilevel"/>
    <w:tmpl w:val="6B5E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8A6A70"/>
    <w:multiLevelType w:val="hybridMultilevel"/>
    <w:tmpl w:val="521EB8F0"/>
    <w:lvl w:ilvl="0" w:tplc="04090001">
      <w:start w:val="1"/>
      <w:numFmt w:val="bullet"/>
      <w:lvlText w:val=""/>
      <w:lvlJc w:val="left"/>
      <w:pPr>
        <w:ind w:left="484" w:hanging="420"/>
      </w:pPr>
      <w:rPr>
        <w:rFonts w:ascii="Wingdings" w:hAnsi="Wingdings" w:hint="default"/>
      </w:rPr>
    </w:lvl>
    <w:lvl w:ilvl="1" w:tplc="04090003" w:tentative="1">
      <w:start w:val="1"/>
      <w:numFmt w:val="bullet"/>
      <w:lvlText w:val=""/>
      <w:lvlJc w:val="left"/>
      <w:pPr>
        <w:ind w:left="904" w:hanging="420"/>
      </w:pPr>
      <w:rPr>
        <w:rFonts w:ascii="Wingdings" w:hAnsi="Wingdings" w:hint="default"/>
      </w:rPr>
    </w:lvl>
    <w:lvl w:ilvl="2" w:tplc="04090005" w:tentative="1">
      <w:start w:val="1"/>
      <w:numFmt w:val="bullet"/>
      <w:lvlText w:val=""/>
      <w:lvlJc w:val="left"/>
      <w:pPr>
        <w:ind w:left="1324" w:hanging="420"/>
      </w:pPr>
      <w:rPr>
        <w:rFonts w:ascii="Wingdings" w:hAnsi="Wingdings" w:hint="default"/>
      </w:rPr>
    </w:lvl>
    <w:lvl w:ilvl="3" w:tplc="04090001" w:tentative="1">
      <w:start w:val="1"/>
      <w:numFmt w:val="bullet"/>
      <w:lvlText w:val=""/>
      <w:lvlJc w:val="left"/>
      <w:pPr>
        <w:ind w:left="1744" w:hanging="420"/>
      </w:pPr>
      <w:rPr>
        <w:rFonts w:ascii="Wingdings" w:hAnsi="Wingdings" w:hint="default"/>
      </w:rPr>
    </w:lvl>
    <w:lvl w:ilvl="4" w:tplc="04090003" w:tentative="1">
      <w:start w:val="1"/>
      <w:numFmt w:val="bullet"/>
      <w:lvlText w:val=""/>
      <w:lvlJc w:val="left"/>
      <w:pPr>
        <w:ind w:left="2164" w:hanging="420"/>
      </w:pPr>
      <w:rPr>
        <w:rFonts w:ascii="Wingdings" w:hAnsi="Wingdings" w:hint="default"/>
      </w:rPr>
    </w:lvl>
    <w:lvl w:ilvl="5" w:tplc="04090005" w:tentative="1">
      <w:start w:val="1"/>
      <w:numFmt w:val="bullet"/>
      <w:lvlText w:val=""/>
      <w:lvlJc w:val="left"/>
      <w:pPr>
        <w:ind w:left="2584" w:hanging="420"/>
      </w:pPr>
      <w:rPr>
        <w:rFonts w:ascii="Wingdings" w:hAnsi="Wingdings" w:hint="default"/>
      </w:rPr>
    </w:lvl>
    <w:lvl w:ilvl="6" w:tplc="04090001" w:tentative="1">
      <w:start w:val="1"/>
      <w:numFmt w:val="bullet"/>
      <w:lvlText w:val=""/>
      <w:lvlJc w:val="left"/>
      <w:pPr>
        <w:ind w:left="3004" w:hanging="420"/>
      </w:pPr>
      <w:rPr>
        <w:rFonts w:ascii="Wingdings" w:hAnsi="Wingdings" w:hint="default"/>
      </w:rPr>
    </w:lvl>
    <w:lvl w:ilvl="7" w:tplc="04090003" w:tentative="1">
      <w:start w:val="1"/>
      <w:numFmt w:val="bullet"/>
      <w:lvlText w:val=""/>
      <w:lvlJc w:val="left"/>
      <w:pPr>
        <w:ind w:left="3424" w:hanging="420"/>
      </w:pPr>
      <w:rPr>
        <w:rFonts w:ascii="Wingdings" w:hAnsi="Wingdings" w:hint="default"/>
      </w:rPr>
    </w:lvl>
    <w:lvl w:ilvl="8" w:tplc="04090005" w:tentative="1">
      <w:start w:val="1"/>
      <w:numFmt w:val="bullet"/>
      <w:lvlText w:val=""/>
      <w:lvlJc w:val="left"/>
      <w:pPr>
        <w:ind w:left="3844" w:hanging="420"/>
      </w:pPr>
      <w:rPr>
        <w:rFonts w:ascii="Wingdings" w:hAnsi="Wingdings" w:hint="default"/>
      </w:rPr>
    </w:lvl>
  </w:abstractNum>
  <w:abstractNum w:abstractNumId="13" w15:restartNumberingAfterBreak="0">
    <w:nsid w:val="74135C7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D1570D3"/>
    <w:multiLevelType w:val="hybridMultilevel"/>
    <w:tmpl w:val="255C9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1"/>
  </w:num>
  <w:num w:numId="4">
    <w:abstractNumId w:val="1"/>
  </w:num>
  <w:num w:numId="5">
    <w:abstractNumId w:val="7"/>
  </w:num>
  <w:num w:numId="6">
    <w:abstractNumId w:val="14"/>
  </w:num>
  <w:num w:numId="7">
    <w:abstractNumId w:val="6"/>
  </w:num>
  <w:num w:numId="8">
    <w:abstractNumId w:val="9"/>
  </w:num>
  <w:num w:numId="9">
    <w:abstractNumId w:val="10"/>
  </w:num>
  <w:num w:numId="10">
    <w:abstractNumId w:val="4"/>
  </w:num>
  <w:num w:numId="11">
    <w:abstractNumId w:val="12"/>
  </w:num>
  <w:num w:numId="12">
    <w:abstractNumId w:val="5"/>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63"/>
    <w:rsid w:val="000105F3"/>
    <w:rsid w:val="000152A1"/>
    <w:rsid w:val="00026EB4"/>
    <w:rsid w:val="0003174E"/>
    <w:rsid w:val="000325A7"/>
    <w:rsid w:val="000369C1"/>
    <w:rsid w:val="00041A92"/>
    <w:rsid w:val="00042A51"/>
    <w:rsid w:val="00043571"/>
    <w:rsid w:val="00047BEA"/>
    <w:rsid w:val="00071453"/>
    <w:rsid w:val="000A1A30"/>
    <w:rsid w:val="000B15DA"/>
    <w:rsid w:val="000B21FB"/>
    <w:rsid w:val="000C022B"/>
    <w:rsid w:val="000C6998"/>
    <w:rsid w:val="000D4CBD"/>
    <w:rsid w:val="000E1FB9"/>
    <w:rsid w:val="000E4768"/>
    <w:rsid w:val="000F536F"/>
    <w:rsid w:val="000F5843"/>
    <w:rsid w:val="00103AA3"/>
    <w:rsid w:val="00111AC7"/>
    <w:rsid w:val="00124AEE"/>
    <w:rsid w:val="001250E5"/>
    <w:rsid w:val="001260E8"/>
    <w:rsid w:val="001403A9"/>
    <w:rsid w:val="00143837"/>
    <w:rsid w:val="00143E53"/>
    <w:rsid w:val="001512F2"/>
    <w:rsid w:val="00154B0A"/>
    <w:rsid w:val="00161E24"/>
    <w:rsid w:val="00162339"/>
    <w:rsid w:val="00173952"/>
    <w:rsid w:val="00182105"/>
    <w:rsid w:val="001866BE"/>
    <w:rsid w:val="00187F57"/>
    <w:rsid w:val="001915C9"/>
    <w:rsid w:val="00192EF2"/>
    <w:rsid w:val="00193D9D"/>
    <w:rsid w:val="001A27D8"/>
    <w:rsid w:val="001A3A43"/>
    <w:rsid w:val="001A46C8"/>
    <w:rsid w:val="001B0A46"/>
    <w:rsid w:val="001B12CE"/>
    <w:rsid w:val="001B1E61"/>
    <w:rsid w:val="001C0084"/>
    <w:rsid w:val="001D1881"/>
    <w:rsid w:val="001D340B"/>
    <w:rsid w:val="001E7AAA"/>
    <w:rsid w:val="001F5808"/>
    <w:rsid w:val="00215F35"/>
    <w:rsid w:val="00243A0E"/>
    <w:rsid w:val="00245669"/>
    <w:rsid w:val="00251A0B"/>
    <w:rsid w:val="00252F40"/>
    <w:rsid w:val="002613B4"/>
    <w:rsid w:val="00264329"/>
    <w:rsid w:val="0026450A"/>
    <w:rsid w:val="002835A9"/>
    <w:rsid w:val="0029002B"/>
    <w:rsid w:val="00290D24"/>
    <w:rsid w:val="002A2FC3"/>
    <w:rsid w:val="002A7E60"/>
    <w:rsid w:val="002B2B44"/>
    <w:rsid w:val="002B4320"/>
    <w:rsid w:val="002C1292"/>
    <w:rsid w:val="002C7AB1"/>
    <w:rsid w:val="002D2753"/>
    <w:rsid w:val="00316910"/>
    <w:rsid w:val="00316EE0"/>
    <w:rsid w:val="00322FF3"/>
    <w:rsid w:val="00327830"/>
    <w:rsid w:val="003353CA"/>
    <w:rsid w:val="00340568"/>
    <w:rsid w:val="00351F4A"/>
    <w:rsid w:val="00353D00"/>
    <w:rsid w:val="00364E83"/>
    <w:rsid w:val="00374F9E"/>
    <w:rsid w:val="00381C53"/>
    <w:rsid w:val="003854F2"/>
    <w:rsid w:val="00386385"/>
    <w:rsid w:val="00390DA6"/>
    <w:rsid w:val="003A13E0"/>
    <w:rsid w:val="003A1E49"/>
    <w:rsid w:val="003B460A"/>
    <w:rsid w:val="003B6D1A"/>
    <w:rsid w:val="003C2D4C"/>
    <w:rsid w:val="003C530B"/>
    <w:rsid w:val="003C6B38"/>
    <w:rsid w:val="003D1C17"/>
    <w:rsid w:val="003E7B89"/>
    <w:rsid w:val="003E7D5E"/>
    <w:rsid w:val="00405303"/>
    <w:rsid w:val="00405D63"/>
    <w:rsid w:val="00407573"/>
    <w:rsid w:val="00410FA6"/>
    <w:rsid w:val="00411424"/>
    <w:rsid w:val="004262AC"/>
    <w:rsid w:val="004302E3"/>
    <w:rsid w:val="0043143D"/>
    <w:rsid w:val="00433CDE"/>
    <w:rsid w:val="00451C76"/>
    <w:rsid w:val="004542E9"/>
    <w:rsid w:val="00455E61"/>
    <w:rsid w:val="00457196"/>
    <w:rsid w:val="00460339"/>
    <w:rsid w:val="004612C6"/>
    <w:rsid w:val="00475125"/>
    <w:rsid w:val="004A3E9D"/>
    <w:rsid w:val="004A4663"/>
    <w:rsid w:val="004A4C65"/>
    <w:rsid w:val="004B2C1F"/>
    <w:rsid w:val="004B4A37"/>
    <w:rsid w:val="004C08E6"/>
    <w:rsid w:val="004C533B"/>
    <w:rsid w:val="004D732A"/>
    <w:rsid w:val="004E499F"/>
    <w:rsid w:val="004F0A47"/>
    <w:rsid w:val="0050069F"/>
    <w:rsid w:val="00510A55"/>
    <w:rsid w:val="00516AA1"/>
    <w:rsid w:val="00516D4F"/>
    <w:rsid w:val="00520DCB"/>
    <w:rsid w:val="00525473"/>
    <w:rsid w:val="00525983"/>
    <w:rsid w:val="00536031"/>
    <w:rsid w:val="00542182"/>
    <w:rsid w:val="005423C5"/>
    <w:rsid w:val="00544082"/>
    <w:rsid w:val="005479D4"/>
    <w:rsid w:val="0055200B"/>
    <w:rsid w:val="005557B8"/>
    <w:rsid w:val="00564608"/>
    <w:rsid w:val="00567B68"/>
    <w:rsid w:val="005742BB"/>
    <w:rsid w:val="0057559F"/>
    <w:rsid w:val="00576261"/>
    <w:rsid w:val="00583A51"/>
    <w:rsid w:val="005A225A"/>
    <w:rsid w:val="005A4E48"/>
    <w:rsid w:val="005C2C2F"/>
    <w:rsid w:val="005C384E"/>
    <w:rsid w:val="005C52C2"/>
    <w:rsid w:val="005D2B9F"/>
    <w:rsid w:val="005D6AF2"/>
    <w:rsid w:val="005E1902"/>
    <w:rsid w:val="00602086"/>
    <w:rsid w:val="0060210F"/>
    <w:rsid w:val="00605EC9"/>
    <w:rsid w:val="00607F06"/>
    <w:rsid w:val="00615741"/>
    <w:rsid w:val="006178D1"/>
    <w:rsid w:val="00623F54"/>
    <w:rsid w:val="0063348D"/>
    <w:rsid w:val="00633CFD"/>
    <w:rsid w:val="006361DB"/>
    <w:rsid w:val="00637918"/>
    <w:rsid w:val="00645E2C"/>
    <w:rsid w:val="00652D9B"/>
    <w:rsid w:val="00654643"/>
    <w:rsid w:val="00655C28"/>
    <w:rsid w:val="00657389"/>
    <w:rsid w:val="0066170E"/>
    <w:rsid w:val="00661A17"/>
    <w:rsid w:val="006623C5"/>
    <w:rsid w:val="00672825"/>
    <w:rsid w:val="00672FE1"/>
    <w:rsid w:val="00676943"/>
    <w:rsid w:val="00677656"/>
    <w:rsid w:val="00684223"/>
    <w:rsid w:val="006B3393"/>
    <w:rsid w:val="006B5954"/>
    <w:rsid w:val="006C1990"/>
    <w:rsid w:val="006C45D3"/>
    <w:rsid w:val="006C4905"/>
    <w:rsid w:val="006D23C9"/>
    <w:rsid w:val="006D5394"/>
    <w:rsid w:val="006D569F"/>
    <w:rsid w:val="006D6D0A"/>
    <w:rsid w:val="006F127F"/>
    <w:rsid w:val="006F341B"/>
    <w:rsid w:val="006F37F0"/>
    <w:rsid w:val="006F5586"/>
    <w:rsid w:val="007033E1"/>
    <w:rsid w:val="00704031"/>
    <w:rsid w:val="00704A2D"/>
    <w:rsid w:val="00704D9D"/>
    <w:rsid w:val="0071118F"/>
    <w:rsid w:val="0071145E"/>
    <w:rsid w:val="00712AF5"/>
    <w:rsid w:val="00714656"/>
    <w:rsid w:val="007210D7"/>
    <w:rsid w:val="007304D3"/>
    <w:rsid w:val="00730FB5"/>
    <w:rsid w:val="00731FBB"/>
    <w:rsid w:val="00736E84"/>
    <w:rsid w:val="00742222"/>
    <w:rsid w:val="00751D2C"/>
    <w:rsid w:val="00756F9D"/>
    <w:rsid w:val="007619AD"/>
    <w:rsid w:val="007702AB"/>
    <w:rsid w:val="00772E4E"/>
    <w:rsid w:val="0077659A"/>
    <w:rsid w:val="007809EA"/>
    <w:rsid w:val="00782C89"/>
    <w:rsid w:val="00787ED4"/>
    <w:rsid w:val="00796308"/>
    <w:rsid w:val="00797971"/>
    <w:rsid w:val="007C34D5"/>
    <w:rsid w:val="007C4D98"/>
    <w:rsid w:val="007C58F0"/>
    <w:rsid w:val="007D677E"/>
    <w:rsid w:val="007E4BF5"/>
    <w:rsid w:val="007E6592"/>
    <w:rsid w:val="007F0BB2"/>
    <w:rsid w:val="007F1E6C"/>
    <w:rsid w:val="008303C9"/>
    <w:rsid w:val="008353FF"/>
    <w:rsid w:val="008406AA"/>
    <w:rsid w:val="008629AC"/>
    <w:rsid w:val="0086542A"/>
    <w:rsid w:val="00874383"/>
    <w:rsid w:val="0088327E"/>
    <w:rsid w:val="00887DF3"/>
    <w:rsid w:val="0089265E"/>
    <w:rsid w:val="008A2C12"/>
    <w:rsid w:val="008A329C"/>
    <w:rsid w:val="008A731B"/>
    <w:rsid w:val="008B4417"/>
    <w:rsid w:val="008B74DA"/>
    <w:rsid w:val="008D4B07"/>
    <w:rsid w:val="008E067C"/>
    <w:rsid w:val="008E3853"/>
    <w:rsid w:val="008F12FF"/>
    <w:rsid w:val="008F7EA3"/>
    <w:rsid w:val="00914F57"/>
    <w:rsid w:val="00915DDB"/>
    <w:rsid w:val="00937263"/>
    <w:rsid w:val="0094069D"/>
    <w:rsid w:val="00941C21"/>
    <w:rsid w:val="009447A5"/>
    <w:rsid w:val="00947467"/>
    <w:rsid w:val="00950557"/>
    <w:rsid w:val="00950780"/>
    <w:rsid w:val="00951395"/>
    <w:rsid w:val="009677BB"/>
    <w:rsid w:val="00970E9B"/>
    <w:rsid w:val="00985871"/>
    <w:rsid w:val="009865F8"/>
    <w:rsid w:val="00990BFD"/>
    <w:rsid w:val="00992652"/>
    <w:rsid w:val="0099328E"/>
    <w:rsid w:val="009A0103"/>
    <w:rsid w:val="009A1B05"/>
    <w:rsid w:val="009A2BA0"/>
    <w:rsid w:val="009A4BB5"/>
    <w:rsid w:val="009B12D0"/>
    <w:rsid w:val="009B2569"/>
    <w:rsid w:val="009B27D0"/>
    <w:rsid w:val="009B3DB3"/>
    <w:rsid w:val="009B3DC3"/>
    <w:rsid w:val="009B545B"/>
    <w:rsid w:val="009B6670"/>
    <w:rsid w:val="009E211B"/>
    <w:rsid w:val="00A05A27"/>
    <w:rsid w:val="00A14AA5"/>
    <w:rsid w:val="00A15E51"/>
    <w:rsid w:val="00A274A5"/>
    <w:rsid w:val="00A32398"/>
    <w:rsid w:val="00A4037A"/>
    <w:rsid w:val="00A53366"/>
    <w:rsid w:val="00A60B9E"/>
    <w:rsid w:val="00A73B5C"/>
    <w:rsid w:val="00A7545B"/>
    <w:rsid w:val="00AB2817"/>
    <w:rsid w:val="00AB6F72"/>
    <w:rsid w:val="00AC1D0C"/>
    <w:rsid w:val="00AC2CD4"/>
    <w:rsid w:val="00AC71CE"/>
    <w:rsid w:val="00AC75FF"/>
    <w:rsid w:val="00AC7F7D"/>
    <w:rsid w:val="00AD53E4"/>
    <w:rsid w:val="00AD706E"/>
    <w:rsid w:val="00AE016E"/>
    <w:rsid w:val="00AE2C7B"/>
    <w:rsid w:val="00AE66A7"/>
    <w:rsid w:val="00AF236C"/>
    <w:rsid w:val="00AF37CA"/>
    <w:rsid w:val="00AF56A9"/>
    <w:rsid w:val="00B02DCA"/>
    <w:rsid w:val="00B136FA"/>
    <w:rsid w:val="00B16C3D"/>
    <w:rsid w:val="00B249DD"/>
    <w:rsid w:val="00B27E13"/>
    <w:rsid w:val="00B3239D"/>
    <w:rsid w:val="00B325D9"/>
    <w:rsid w:val="00B369B4"/>
    <w:rsid w:val="00B412F4"/>
    <w:rsid w:val="00B43B8C"/>
    <w:rsid w:val="00B55E44"/>
    <w:rsid w:val="00B65068"/>
    <w:rsid w:val="00B81993"/>
    <w:rsid w:val="00B97FA9"/>
    <w:rsid w:val="00BB215A"/>
    <w:rsid w:val="00BB60B8"/>
    <w:rsid w:val="00BD7600"/>
    <w:rsid w:val="00BF2415"/>
    <w:rsid w:val="00C00495"/>
    <w:rsid w:val="00C06B4B"/>
    <w:rsid w:val="00C2015C"/>
    <w:rsid w:val="00C348E7"/>
    <w:rsid w:val="00C3771A"/>
    <w:rsid w:val="00C47716"/>
    <w:rsid w:val="00C51DEC"/>
    <w:rsid w:val="00C52762"/>
    <w:rsid w:val="00C57A1F"/>
    <w:rsid w:val="00C77A01"/>
    <w:rsid w:val="00C8344E"/>
    <w:rsid w:val="00C84E43"/>
    <w:rsid w:val="00C87381"/>
    <w:rsid w:val="00CA2DE5"/>
    <w:rsid w:val="00CB20D6"/>
    <w:rsid w:val="00CC0654"/>
    <w:rsid w:val="00CD125D"/>
    <w:rsid w:val="00CD24E8"/>
    <w:rsid w:val="00CD2DD6"/>
    <w:rsid w:val="00CF3402"/>
    <w:rsid w:val="00CF4120"/>
    <w:rsid w:val="00D12C4D"/>
    <w:rsid w:val="00D14D7E"/>
    <w:rsid w:val="00D17E7E"/>
    <w:rsid w:val="00D26480"/>
    <w:rsid w:val="00D31ECE"/>
    <w:rsid w:val="00D40749"/>
    <w:rsid w:val="00D56465"/>
    <w:rsid w:val="00D74D65"/>
    <w:rsid w:val="00D85178"/>
    <w:rsid w:val="00D86CFF"/>
    <w:rsid w:val="00D9345F"/>
    <w:rsid w:val="00DB524C"/>
    <w:rsid w:val="00DC124A"/>
    <w:rsid w:val="00DC5777"/>
    <w:rsid w:val="00DE29FE"/>
    <w:rsid w:val="00DF017A"/>
    <w:rsid w:val="00DF0D73"/>
    <w:rsid w:val="00DF1427"/>
    <w:rsid w:val="00DF2613"/>
    <w:rsid w:val="00DF639F"/>
    <w:rsid w:val="00DF7757"/>
    <w:rsid w:val="00E073C2"/>
    <w:rsid w:val="00E1303C"/>
    <w:rsid w:val="00E15B38"/>
    <w:rsid w:val="00E257CB"/>
    <w:rsid w:val="00E25DF3"/>
    <w:rsid w:val="00E30D91"/>
    <w:rsid w:val="00E31DC0"/>
    <w:rsid w:val="00E377D1"/>
    <w:rsid w:val="00E43126"/>
    <w:rsid w:val="00E46791"/>
    <w:rsid w:val="00E469B5"/>
    <w:rsid w:val="00E47AA4"/>
    <w:rsid w:val="00E502B4"/>
    <w:rsid w:val="00E50D31"/>
    <w:rsid w:val="00E551C2"/>
    <w:rsid w:val="00E56FF6"/>
    <w:rsid w:val="00E62548"/>
    <w:rsid w:val="00E63982"/>
    <w:rsid w:val="00E903A1"/>
    <w:rsid w:val="00E946AA"/>
    <w:rsid w:val="00E951B1"/>
    <w:rsid w:val="00EA5DD1"/>
    <w:rsid w:val="00EB1AAB"/>
    <w:rsid w:val="00EB31D8"/>
    <w:rsid w:val="00EB3C95"/>
    <w:rsid w:val="00EB4D91"/>
    <w:rsid w:val="00EB7827"/>
    <w:rsid w:val="00ED1E3B"/>
    <w:rsid w:val="00ED20DC"/>
    <w:rsid w:val="00EE09E4"/>
    <w:rsid w:val="00EF057B"/>
    <w:rsid w:val="00EF3F65"/>
    <w:rsid w:val="00EF4B9C"/>
    <w:rsid w:val="00F0744C"/>
    <w:rsid w:val="00F1221E"/>
    <w:rsid w:val="00F14508"/>
    <w:rsid w:val="00F41ABA"/>
    <w:rsid w:val="00F53562"/>
    <w:rsid w:val="00F643D8"/>
    <w:rsid w:val="00F71DCE"/>
    <w:rsid w:val="00F76633"/>
    <w:rsid w:val="00F81E1B"/>
    <w:rsid w:val="00F85727"/>
    <w:rsid w:val="00F8790A"/>
    <w:rsid w:val="00F922C3"/>
    <w:rsid w:val="00F96796"/>
    <w:rsid w:val="00FA6DFA"/>
    <w:rsid w:val="00FC3BEC"/>
    <w:rsid w:val="00FC5AAA"/>
    <w:rsid w:val="00FD0407"/>
    <w:rsid w:val="00FD08DC"/>
    <w:rsid w:val="00FD0E8B"/>
    <w:rsid w:val="00FD0FAB"/>
    <w:rsid w:val="00FD2A39"/>
    <w:rsid w:val="00FD3B4B"/>
    <w:rsid w:val="00FF44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A866FC"/>
  <w15:docId w15:val="{8E846A01-06A3-4416-8B01-63D3F056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
    <w:qFormat/>
    <w:pPr>
      <w:keepNext/>
      <w:numPr>
        <w:numId w:val="1"/>
      </w:numPr>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Calibri" w:eastAsia="Times New Roman" w:hAnsi="Calibri"/>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mbria" w:eastAsia="Times New Roman" w:hAnsi="Cambria"/>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rFonts w:ascii="Cambria" w:eastAsia="Times New Roman" w:hAnsi="Cambria"/>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rFonts w:ascii="Cambria" w:eastAsia="Times New Roman" w:hAnsi="Cambria"/>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mbria" w:eastAsia="Times New Roman" w:hAnsi="Cambria"/>
    </w:rPr>
  </w:style>
  <w:style w:type="paragraph" w:styleId="Heading8">
    <w:name w:val="heading 8"/>
    <w:basedOn w:val="Normal"/>
    <w:next w:val="Normal"/>
    <w:link w:val="Heading8Char"/>
    <w:uiPriority w:val="9"/>
    <w:qFormat/>
    <w:pPr>
      <w:numPr>
        <w:ilvl w:val="7"/>
        <w:numId w:val="1"/>
      </w:numPr>
      <w:spacing w:before="240" w:after="60"/>
      <w:outlineLvl w:val="7"/>
    </w:pPr>
    <w:rPr>
      <w:rFonts w:ascii="Cambria" w:eastAsia="Times New Roman" w:hAnsi="Cambria"/>
      <w:i/>
      <w:iCs/>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alibri" w:eastAsia="Times New Roman" w:hAnsi="Calibri" w:cs="Times New Roman"/>
      <w:b/>
      <w:bCs/>
      <w:kern w:val="32"/>
      <w:sz w:val="32"/>
      <w:szCs w:val="32"/>
    </w:rPr>
  </w:style>
  <w:style w:type="character" w:customStyle="1" w:styleId="Heading2Char">
    <w:name w:val="Heading 2 Char"/>
    <w:link w:val="Heading2"/>
    <w:uiPriority w:val="9"/>
    <w:semiHidden/>
    <w:rPr>
      <w:rFonts w:ascii="Calibri" w:eastAsia="Times New Roman" w:hAnsi="Calibri" w:cs="Times New Roman"/>
      <w:b/>
      <w:bCs/>
      <w:i/>
      <w:iCs/>
      <w:sz w:val="28"/>
      <w:szCs w:val="28"/>
    </w:rPr>
  </w:style>
  <w:style w:type="character" w:customStyle="1" w:styleId="Heading3Char">
    <w:name w:val="Heading 3 Char"/>
    <w:link w:val="Heading3"/>
    <w:uiPriority w:val="9"/>
    <w:semiHidden/>
    <w:rPr>
      <w:rFonts w:ascii="Calibri" w:eastAsia="Times New Roman" w:hAnsi="Calibri" w:cs="Times New Roman"/>
      <w:b/>
      <w:bCs/>
      <w:sz w:val="26"/>
      <w:szCs w:val="26"/>
    </w:rPr>
  </w:style>
  <w:style w:type="character" w:customStyle="1" w:styleId="Heading4Char">
    <w:name w:val="Heading 4 Char"/>
    <w:link w:val="Heading4"/>
    <w:uiPriority w:val="9"/>
    <w:semiHidden/>
    <w:rPr>
      <w:rFonts w:ascii="Cambria" w:eastAsia="Times New Roman" w:hAnsi="Cambria" w:cs="Times New Roman"/>
      <w:b/>
      <w:bCs/>
      <w:sz w:val="28"/>
      <w:szCs w:val="28"/>
    </w:rPr>
  </w:style>
  <w:style w:type="character" w:customStyle="1" w:styleId="Heading5Char">
    <w:name w:val="Heading 5 Char"/>
    <w:link w:val="Heading5"/>
    <w:uiPriority w:val="9"/>
    <w:semiHidden/>
    <w:rPr>
      <w:rFonts w:ascii="Cambria" w:eastAsia="Times New Roman" w:hAnsi="Cambria" w:cs="Times New Roman"/>
      <w:b/>
      <w:bCs/>
      <w:i/>
      <w:iCs/>
      <w:sz w:val="26"/>
      <w:szCs w:val="26"/>
    </w:rPr>
  </w:style>
  <w:style w:type="character" w:customStyle="1" w:styleId="Heading6Char">
    <w:name w:val="Heading 6 Char"/>
    <w:link w:val="Heading6"/>
    <w:uiPriority w:val="9"/>
    <w:semiHidden/>
    <w:rPr>
      <w:rFonts w:ascii="Cambria" w:eastAsia="Times New Roman" w:hAnsi="Cambria" w:cs="Times New Roman"/>
      <w:b/>
      <w:bCs/>
      <w:sz w:val="22"/>
      <w:szCs w:val="22"/>
    </w:rPr>
  </w:style>
  <w:style w:type="character" w:customStyle="1" w:styleId="Heading7Char">
    <w:name w:val="Heading 7 Char"/>
    <w:link w:val="Heading7"/>
    <w:uiPriority w:val="9"/>
    <w:semiHidden/>
    <w:rPr>
      <w:rFonts w:ascii="Cambria" w:eastAsia="Times New Roman" w:hAnsi="Cambria" w:cs="Times New Roman"/>
      <w:sz w:val="24"/>
      <w:szCs w:val="24"/>
    </w:rPr>
  </w:style>
  <w:style w:type="character" w:customStyle="1" w:styleId="Heading8Char">
    <w:name w:val="Heading 8 Char"/>
    <w:link w:val="Heading8"/>
    <w:uiPriority w:val="9"/>
    <w:semiHidden/>
    <w:rPr>
      <w:rFonts w:ascii="Cambria" w:eastAsia="Times New Roman" w:hAnsi="Cambria" w:cs="Times New Roman"/>
      <w:i/>
      <w:iCs/>
      <w:sz w:val="24"/>
      <w:szCs w:val="24"/>
    </w:rPr>
  </w:style>
  <w:style w:type="character" w:customStyle="1" w:styleId="Heading9Char">
    <w:name w:val="Heading 9 Char"/>
    <w:link w:val="Heading9"/>
    <w:uiPriority w:val="9"/>
    <w:semiHidden/>
    <w:rPr>
      <w:rFonts w:ascii="Calibri" w:eastAsia="Times New Roman" w:hAnsi="Calibri" w:cs="Times New Roman"/>
      <w:sz w:val="22"/>
      <w:szCs w:val="22"/>
    </w:rPr>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link w:val="Header"/>
    <w:uiPriority w:val="99"/>
    <w:rPr>
      <w:sz w:val="24"/>
      <w:szCs w:val="24"/>
      <w:lang w:eastAsia="en-US"/>
    </w:rPr>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link w:val="Footer"/>
    <w:uiPriority w:val="99"/>
    <w:rPr>
      <w:sz w:val="24"/>
      <w:szCs w:val="24"/>
      <w:lang w:eastAsia="en-US"/>
    </w:rPr>
  </w:style>
  <w:style w:type="paragraph" w:styleId="HTMLPreformatted">
    <w:name w:val="HTML Preformatted"/>
    <w:basedOn w:val="Normal"/>
    <w:link w:val="HTMLPreformattedChar"/>
    <w:uiPriority w:val="99"/>
    <w:semiHidden/>
    <w:unhideWhenUsed/>
    <w:rsid w:val="00191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15C9"/>
    <w:rPr>
      <w:rFonts w:ascii="Courier New" w:eastAsia="Times New Roman" w:hAnsi="Courier New" w:cs="Courier New"/>
    </w:rPr>
  </w:style>
  <w:style w:type="paragraph" w:styleId="ListParagraph">
    <w:name w:val="List Paragraph"/>
    <w:basedOn w:val="Normal"/>
    <w:uiPriority w:val="34"/>
    <w:qFormat/>
    <w:rsid w:val="00187F57"/>
    <w:pPr>
      <w:ind w:left="720"/>
      <w:contextualSpacing/>
    </w:pPr>
  </w:style>
  <w:style w:type="paragraph" w:styleId="NoSpacing">
    <w:name w:val="No Spacing"/>
    <w:uiPriority w:val="1"/>
    <w:qFormat/>
    <w:rsid w:val="007702AB"/>
    <w:pPr>
      <w:jc w:val="both"/>
    </w:pPr>
    <w:rPr>
      <w:sz w:val="24"/>
      <w:szCs w:val="24"/>
    </w:rPr>
  </w:style>
  <w:style w:type="paragraph" w:styleId="FootnoteText">
    <w:name w:val="footnote text"/>
    <w:basedOn w:val="Normal"/>
    <w:link w:val="FootnoteTextChar"/>
    <w:uiPriority w:val="99"/>
    <w:semiHidden/>
    <w:unhideWhenUsed/>
    <w:rsid w:val="00E551C2"/>
    <w:rPr>
      <w:sz w:val="20"/>
      <w:szCs w:val="20"/>
    </w:rPr>
  </w:style>
  <w:style w:type="character" w:customStyle="1" w:styleId="FootnoteTextChar">
    <w:name w:val="Footnote Text Char"/>
    <w:basedOn w:val="DefaultParagraphFont"/>
    <w:link w:val="FootnoteText"/>
    <w:uiPriority w:val="99"/>
    <w:semiHidden/>
    <w:rsid w:val="00E551C2"/>
  </w:style>
  <w:style w:type="character" w:styleId="FootnoteReference">
    <w:name w:val="footnote reference"/>
    <w:basedOn w:val="DefaultParagraphFont"/>
    <w:uiPriority w:val="99"/>
    <w:semiHidden/>
    <w:unhideWhenUsed/>
    <w:rsid w:val="00E551C2"/>
    <w:rPr>
      <w:vertAlign w:val="superscript"/>
    </w:rPr>
  </w:style>
  <w:style w:type="paragraph" w:styleId="BalloonText">
    <w:name w:val="Balloon Text"/>
    <w:basedOn w:val="Normal"/>
    <w:link w:val="BalloonTextChar"/>
    <w:uiPriority w:val="99"/>
    <w:semiHidden/>
    <w:unhideWhenUsed/>
    <w:rsid w:val="005557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7B8"/>
    <w:rPr>
      <w:rFonts w:ascii="Segoe UI" w:hAnsi="Segoe UI" w:cs="Segoe UI"/>
      <w:sz w:val="18"/>
      <w:szCs w:val="18"/>
    </w:rPr>
  </w:style>
  <w:style w:type="character" w:styleId="CommentReference">
    <w:name w:val="annotation reference"/>
    <w:basedOn w:val="DefaultParagraphFont"/>
    <w:uiPriority w:val="99"/>
    <w:semiHidden/>
    <w:unhideWhenUsed/>
    <w:rsid w:val="00FC3BEC"/>
    <w:rPr>
      <w:sz w:val="16"/>
      <w:szCs w:val="16"/>
    </w:rPr>
  </w:style>
  <w:style w:type="paragraph" w:styleId="CommentText">
    <w:name w:val="annotation text"/>
    <w:basedOn w:val="Normal"/>
    <w:link w:val="CommentTextChar"/>
    <w:uiPriority w:val="99"/>
    <w:semiHidden/>
    <w:unhideWhenUsed/>
    <w:rsid w:val="00FC3BEC"/>
    <w:rPr>
      <w:sz w:val="20"/>
      <w:szCs w:val="20"/>
    </w:rPr>
  </w:style>
  <w:style w:type="character" w:customStyle="1" w:styleId="CommentTextChar">
    <w:name w:val="Comment Text Char"/>
    <w:basedOn w:val="DefaultParagraphFont"/>
    <w:link w:val="CommentText"/>
    <w:uiPriority w:val="99"/>
    <w:semiHidden/>
    <w:rsid w:val="00FC3BEC"/>
  </w:style>
  <w:style w:type="paragraph" w:styleId="CommentSubject">
    <w:name w:val="annotation subject"/>
    <w:basedOn w:val="CommentText"/>
    <w:next w:val="CommentText"/>
    <w:link w:val="CommentSubjectChar"/>
    <w:uiPriority w:val="99"/>
    <w:semiHidden/>
    <w:unhideWhenUsed/>
    <w:rsid w:val="00FC3BEC"/>
    <w:rPr>
      <w:b/>
      <w:bCs/>
    </w:rPr>
  </w:style>
  <w:style w:type="character" w:customStyle="1" w:styleId="CommentSubjectChar">
    <w:name w:val="Comment Subject Char"/>
    <w:basedOn w:val="CommentTextChar"/>
    <w:link w:val="CommentSubject"/>
    <w:uiPriority w:val="99"/>
    <w:semiHidden/>
    <w:rsid w:val="00FC3BEC"/>
    <w:rPr>
      <w:b/>
      <w:bCs/>
    </w:rPr>
  </w:style>
  <w:style w:type="character" w:styleId="Hyperlink">
    <w:name w:val="Hyperlink"/>
    <w:basedOn w:val="DefaultParagraphFont"/>
    <w:uiPriority w:val="99"/>
    <w:unhideWhenUsed/>
    <w:rsid w:val="00DF017A"/>
    <w:rPr>
      <w:color w:val="0563C1" w:themeColor="hyperlink"/>
      <w:u w:val="single"/>
    </w:rPr>
  </w:style>
  <w:style w:type="paragraph" w:styleId="TOCHeading">
    <w:name w:val="TOC Heading"/>
    <w:basedOn w:val="Heading1"/>
    <w:next w:val="Normal"/>
    <w:uiPriority w:val="39"/>
    <w:unhideWhenUsed/>
    <w:qFormat/>
    <w:rsid w:val="00525473"/>
    <w:pPr>
      <w:keepLines/>
      <w:numPr>
        <w:numId w:val="0"/>
      </w:numPr>
      <w:spacing w:after="0" w:line="259" w:lineRule="auto"/>
      <w:jc w:val="left"/>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525473"/>
    <w:pPr>
      <w:spacing w:after="100"/>
    </w:pPr>
  </w:style>
  <w:style w:type="paragraph" w:styleId="TOC2">
    <w:name w:val="toc 2"/>
    <w:basedOn w:val="Normal"/>
    <w:next w:val="Normal"/>
    <w:autoRedefine/>
    <w:uiPriority w:val="39"/>
    <w:unhideWhenUsed/>
    <w:rsid w:val="00525473"/>
    <w:pPr>
      <w:spacing w:after="100"/>
      <w:ind w:left="240"/>
    </w:pPr>
  </w:style>
  <w:style w:type="paragraph" w:styleId="Caption">
    <w:name w:val="caption"/>
    <w:basedOn w:val="Normal"/>
    <w:next w:val="Normal"/>
    <w:uiPriority w:val="35"/>
    <w:unhideWhenUsed/>
    <w:qFormat/>
    <w:rsid w:val="002613B4"/>
    <w:pPr>
      <w:spacing w:after="200"/>
    </w:pPr>
    <w:rPr>
      <w:i/>
      <w:iCs/>
      <w:color w:val="44546A" w:themeColor="text2"/>
      <w:sz w:val="18"/>
      <w:szCs w:val="18"/>
    </w:rPr>
  </w:style>
  <w:style w:type="character" w:customStyle="1" w:styleId="SyntaxChar">
    <w:name w:val="Syntax Char"/>
    <w:basedOn w:val="DefaultParagraphFont"/>
    <w:link w:val="Syntax"/>
    <w:locked/>
    <w:rsid w:val="00B81993"/>
    <w:rPr>
      <w:rFonts w:ascii="Cambria" w:eastAsia="Calibri" w:hAnsi="Cambria"/>
      <w:szCs w:val="22"/>
      <w:lang w:val="en-GB"/>
    </w:rPr>
  </w:style>
  <w:style w:type="paragraph" w:customStyle="1" w:styleId="Syntax">
    <w:name w:val="Syntax"/>
    <w:basedOn w:val="Normal"/>
    <w:link w:val="SyntaxChar"/>
    <w:qFormat/>
    <w:rsid w:val="00B81993"/>
    <w:pPr>
      <w:tabs>
        <w:tab w:val="left" w:pos="403"/>
        <w:tab w:val="left" w:pos="805"/>
        <w:tab w:val="left" w:pos="1208"/>
      </w:tabs>
      <w:spacing w:before="60" w:after="60" w:line="240" w:lineRule="atLeast"/>
      <w:jc w:val="left"/>
    </w:pPr>
    <w:rPr>
      <w:rFonts w:ascii="Cambria" w:eastAsia="Calibri" w:hAnsi="Cambria"/>
      <w:sz w:val="20"/>
      <w:szCs w:val="22"/>
      <w:lang w:val="en-GB"/>
    </w:rPr>
  </w:style>
  <w:style w:type="paragraph" w:styleId="Revision">
    <w:name w:val="Revision"/>
    <w:hidden/>
    <w:uiPriority w:val="99"/>
    <w:semiHidden/>
    <w:rsid w:val="00161E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9727">
      <w:bodyDiv w:val="1"/>
      <w:marLeft w:val="0"/>
      <w:marRight w:val="0"/>
      <w:marTop w:val="0"/>
      <w:marBottom w:val="0"/>
      <w:divBdr>
        <w:top w:val="none" w:sz="0" w:space="0" w:color="auto"/>
        <w:left w:val="none" w:sz="0" w:space="0" w:color="auto"/>
        <w:bottom w:val="none" w:sz="0" w:space="0" w:color="auto"/>
        <w:right w:val="none" w:sz="0" w:space="0" w:color="auto"/>
      </w:divBdr>
    </w:div>
    <w:div w:id="278143029">
      <w:bodyDiv w:val="1"/>
      <w:marLeft w:val="0"/>
      <w:marRight w:val="0"/>
      <w:marTop w:val="0"/>
      <w:marBottom w:val="0"/>
      <w:divBdr>
        <w:top w:val="none" w:sz="0" w:space="0" w:color="auto"/>
        <w:left w:val="none" w:sz="0" w:space="0" w:color="auto"/>
        <w:bottom w:val="none" w:sz="0" w:space="0" w:color="auto"/>
        <w:right w:val="none" w:sz="0" w:space="0" w:color="auto"/>
      </w:divBdr>
    </w:div>
    <w:div w:id="402221755">
      <w:bodyDiv w:val="1"/>
      <w:marLeft w:val="0"/>
      <w:marRight w:val="0"/>
      <w:marTop w:val="0"/>
      <w:marBottom w:val="0"/>
      <w:divBdr>
        <w:top w:val="none" w:sz="0" w:space="0" w:color="auto"/>
        <w:left w:val="none" w:sz="0" w:space="0" w:color="auto"/>
        <w:bottom w:val="none" w:sz="0" w:space="0" w:color="auto"/>
        <w:right w:val="none" w:sz="0" w:space="0" w:color="auto"/>
      </w:divBdr>
    </w:div>
    <w:div w:id="504397802">
      <w:bodyDiv w:val="1"/>
      <w:marLeft w:val="0"/>
      <w:marRight w:val="0"/>
      <w:marTop w:val="0"/>
      <w:marBottom w:val="0"/>
      <w:divBdr>
        <w:top w:val="none" w:sz="0" w:space="0" w:color="auto"/>
        <w:left w:val="none" w:sz="0" w:space="0" w:color="auto"/>
        <w:bottom w:val="none" w:sz="0" w:space="0" w:color="auto"/>
        <w:right w:val="none" w:sz="0" w:space="0" w:color="auto"/>
      </w:divBdr>
    </w:div>
    <w:div w:id="566645549">
      <w:bodyDiv w:val="1"/>
      <w:marLeft w:val="0"/>
      <w:marRight w:val="0"/>
      <w:marTop w:val="0"/>
      <w:marBottom w:val="0"/>
      <w:divBdr>
        <w:top w:val="none" w:sz="0" w:space="0" w:color="auto"/>
        <w:left w:val="none" w:sz="0" w:space="0" w:color="auto"/>
        <w:bottom w:val="none" w:sz="0" w:space="0" w:color="auto"/>
        <w:right w:val="none" w:sz="0" w:space="0" w:color="auto"/>
      </w:divBdr>
    </w:div>
    <w:div w:id="595679154">
      <w:bodyDiv w:val="1"/>
      <w:marLeft w:val="0"/>
      <w:marRight w:val="0"/>
      <w:marTop w:val="0"/>
      <w:marBottom w:val="0"/>
      <w:divBdr>
        <w:top w:val="none" w:sz="0" w:space="0" w:color="auto"/>
        <w:left w:val="none" w:sz="0" w:space="0" w:color="auto"/>
        <w:bottom w:val="none" w:sz="0" w:space="0" w:color="auto"/>
        <w:right w:val="none" w:sz="0" w:space="0" w:color="auto"/>
      </w:divBdr>
    </w:div>
    <w:div w:id="681514209">
      <w:bodyDiv w:val="1"/>
      <w:marLeft w:val="0"/>
      <w:marRight w:val="0"/>
      <w:marTop w:val="0"/>
      <w:marBottom w:val="0"/>
      <w:divBdr>
        <w:top w:val="none" w:sz="0" w:space="0" w:color="auto"/>
        <w:left w:val="none" w:sz="0" w:space="0" w:color="auto"/>
        <w:bottom w:val="none" w:sz="0" w:space="0" w:color="auto"/>
        <w:right w:val="none" w:sz="0" w:space="0" w:color="auto"/>
      </w:divBdr>
    </w:div>
    <w:div w:id="758139160">
      <w:bodyDiv w:val="1"/>
      <w:marLeft w:val="0"/>
      <w:marRight w:val="0"/>
      <w:marTop w:val="0"/>
      <w:marBottom w:val="0"/>
      <w:divBdr>
        <w:top w:val="none" w:sz="0" w:space="0" w:color="auto"/>
        <w:left w:val="none" w:sz="0" w:space="0" w:color="auto"/>
        <w:bottom w:val="none" w:sz="0" w:space="0" w:color="auto"/>
        <w:right w:val="none" w:sz="0" w:space="0" w:color="auto"/>
      </w:divBdr>
    </w:div>
    <w:div w:id="814684071">
      <w:bodyDiv w:val="1"/>
      <w:marLeft w:val="0"/>
      <w:marRight w:val="0"/>
      <w:marTop w:val="0"/>
      <w:marBottom w:val="0"/>
      <w:divBdr>
        <w:top w:val="none" w:sz="0" w:space="0" w:color="auto"/>
        <w:left w:val="none" w:sz="0" w:space="0" w:color="auto"/>
        <w:bottom w:val="none" w:sz="0" w:space="0" w:color="auto"/>
        <w:right w:val="none" w:sz="0" w:space="0" w:color="auto"/>
      </w:divBdr>
    </w:div>
    <w:div w:id="817461395">
      <w:bodyDiv w:val="1"/>
      <w:marLeft w:val="0"/>
      <w:marRight w:val="0"/>
      <w:marTop w:val="0"/>
      <w:marBottom w:val="0"/>
      <w:divBdr>
        <w:top w:val="none" w:sz="0" w:space="0" w:color="auto"/>
        <w:left w:val="none" w:sz="0" w:space="0" w:color="auto"/>
        <w:bottom w:val="none" w:sz="0" w:space="0" w:color="auto"/>
        <w:right w:val="none" w:sz="0" w:space="0" w:color="auto"/>
      </w:divBdr>
    </w:div>
    <w:div w:id="874535817">
      <w:bodyDiv w:val="1"/>
      <w:marLeft w:val="0"/>
      <w:marRight w:val="0"/>
      <w:marTop w:val="0"/>
      <w:marBottom w:val="0"/>
      <w:divBdr>
        <w:top w:val="none" w:sz="0" w:space="0" w:color="auto"/>
        <w:left w:val="none" w:sz="0" w:space="0" w:color="auto"/>
        <w:bottom w:val="none" w:sz="0" w:space="0" w:color="auto"/>
        <w:right w:val="none" w:sz="0" w:space="0" w:color="auto"/>
      </w:divBdr>
    </w:div>
    <w:div w:id="899437543">
      <w:bodyDiv w:val="1"/>
      <w:marLeft w:val="0"/>
      <w:marRight w:val="0"/>
      <w:marTop w:val="0"/>
      <w:marBottom w:val="0"/>
      <w:divBdr>
        <w:top w:val="none" w:sz="0" w:space="0" w:color="auto"/>
        <w:left w:val="none" w:sz="0" w:space="0" w:color="auto"/>
        <w:bottom w:val="none" w:sz="0" w:space="0" w:color="auto"/>
        <w:right w:val="none" w:sz="0" w:space="0" w:color="auto"/>
      </w:divBdr>
    </w:div>
    <w:div w:id="978805157">
      <w:bodyDiv w:val="1"/>
      <w:marLeft w:val="0"/>
      <w:marRight w:val="0"/>
      <w:marTop w:val="0"/>
      <w:marBottom w:val="0"/>
      <w:divBdr>
        <w:top w:val="none" w:sz="0" w:space="0" w:color="auto"/>
        <w:left w:val="none" w:sz="0" w:space="0" w:color="auto"/>
        <w:bottom w:val="none" w:sz="0" w:space="0" w:color="auto"/>
        <w:right w:val="none" w:sz="0" w:space="0" w:color="auto"/>
      </w:divBdr>
    </w:div>
    <w:div w:id="1123884339">
      <w:bodyDiv w:val="1"/>
      <w:marLeft w:val="0"/>
      <w:marRight w:val="0"/>
      <w:marTop w:val="0"/>
      <w:marBottom w:val="0"/>
      <w:divBdr>
        <w:top w:val="none" w:sz="0" w:space="0" w:color="auto"/>
        <w:left w:val="none" w:sz="0" w:space="0" w:color="auto"/>
        <w:bottom w:val="none" w:sz="0" w:space="0" w:color="auto"/>
        <w:right w:val="none" w:sz="0" w:space="0" w:color="auto"/>
      </w:divBdr>
    </w:div>
    <w:div w:id="1129083795">
      <w:bodyDiv w:val="1"/>
      <w:marLeft w:val="0"/>
      <w:marRight w:val="0"/>
      <w:marTop w:val="0"/>
      <w:marBottom w:val="0"/>
      <w:divBdr>
        <w:top w:val="none" w:sz="0" w:space="0" w:color="auto"/>
        <w:left w:val="none" w:sz="0" w:space="0" w:color="auto"/>
        <w:bottom w:val="none" w:sz="0" w:space="0" w:color="auto"/>
        <w:right w:val="none" w:sz="0" w:space="0" w:color="auto"/>
      </w:divBdr>
    </w:div>
    <w:div w:id="1337344287">
      <w:bodyDiv w:val="1"/>
      <w:marLeft w:val="0"/>
      <w:marRight w:val="0"/>
      <w:marTop w:val="0"/>
      <w:marBottom w:val="0"/>
      <w:divBdr>
        <w:top w:val="none" w:sz="0" w:space="0" w:color="auto"/>
        <w:left w:val="none" w:sz="0" w:space="0" w:color="auto"/>
        <w:bottom w:val="none" w:sz="0" w:space="0" w:color="auto"/>
        <w:right w:val="none" w:sz="0" w:space="0" w:color="auto"/>
      </w:divBdr>
    </w:div>
    <w:div w:id="1362972613">
      <w:bodyDiv w:val="1"/>
      <w:marLeft w:val="0"/>
      <w:marRight w:val="0"/>
      <w:marTop w:val="0"/>
      <w:marBottom w:val="0"/>
      <w:divBdr>
        <w:top w:val="none" w:sz="0" w:space="0" w:color="auto"/>
        <w:left w:val="none" w:sz="0" w:space="0" w:color="auto"/>
        <w:bottom w:val="none" w:sz="0" w:space="0" w:color="auto"/>
        <w:right w:val="none" w:sz="0" w:space="0" w:color="auto"/>
      </w:divBdr>
    </w:div>
    <w:div w:id="1408309661">
      <w:bodyDiv w:val="1"/>
      <w:marLeft w:val="0"/>
      <w:marRight w:val="0"/>
      <w:marTop w:val="0"/>
      <w:marBottom w:val="0"/>
      <w:divBdr>
        <w:top w:val="none" w:sz="0" w:space="0" w:color="auto"/>
        <w:left w:val="none" w:sz="0" w:space="0" w:color="auto"/>
        <w:bottom w:val="none" w:sz="0" w:space="0" w:color="auto"/>
        <w:right w:val="none" w:sz="0" w:space="0" w:color="auto"/>
      </w:divBdr>
    </w:div>
    <w:div w:id="1483043183">
      <w:bodyDiv w:val="1"/>
      <w:marLeft w:val="0"/>
      <w:marRight w:val="0"/>
      <w:marTop w:val="0"/>
      <w:marBottom w:val="0"/>
      <w:divBdr>
        <w:top w:val="none" w:sz="0" w:space="0" w:color="auto"/>
        <w:left w:val="none" w:sz="0" w:space="0" w:color="auto"/>
        <w:bottom w:val="none" w:sz="0" w:space="0" w:color="auto"/>
        <w:right w:val="none" w:sz="0" w:space="0" w:color="auto"/>
      </w:divBdr>
    </w:div>
    <w:div w:id="1495296145">
      <w:bodyDiv w:val="1"/>
      <w:marLeft w:val="0"/>
      <w:marRight w:val="0"/>
      <w:marTop w:val="0"/>
      <w:marBottom w:val="0"/>
      <w:divBdr>
        <w:top w:val="none" w:sz="0" w:space="0" w:color="auto"/>
        <w:left w:val="none" w:sz="0" w:space="0" w:color="auto"/>
        <w:bottom w:val="none" w:sz="0" w:space="0" w:color="auto"/>
        <w:right w:val="none" w:sz="0" w:space="0" w:color="auto"/>
      </w:divBdr>
    </w:div>
    <w:div w:id="1561400122">
      <w:bodyDiv w:val="1"/>
      <w:marLeft w:val="0"/>
      <w:marRight w:val="0"/>
      <w:marTop w:val="0"/>
      <w:marBottom w:val="0"/>
      <w:divBdr>
        <w:top w:val="none" w:sz="0" w:space="0" w:color="auto"/>
        <w:left w:val="none" w:sz="0" w:space="0" w:color="auto"/>
        <w:bottom w:val="none" w:sz="0" w:space="0" w:color="auto"/>
        <w:right w:val="none" w:sz="0" w:space="0" w:color="auto"/>
      </w:divBdr>
    </w:div>
    <w:div w:id="1878083982">
      <w:bodyDiv w:val="1"/>
      <w:marLeft w:val="0"/>
      <w:marRight w:val="0"/>
      <w:marTop w:val="0"/>
      <w:marBottom w:val="0"/>
      <w:divBdr>
        <w:top w:val="none" w:sz="0" w:space="0" w:color="auto"/>
        <w:left w:val="none" w:sz="0" w:space="0" w:color="auto"/>
        <w:bottom w:val="none" w:sz="0" w:space="0" w:color="auto"/>
        <w:right w:val="none" w:sz="0" w:space="0" w:color="auto"/>
      </w:divBdr>
    </w:div>
    <w:div w:id="1966689160">
      <w:bodyDiv w:val="1"/>
      <w:marLeft w:val="0"/>
      <w:marRight w:val="0"/>
      <w:marTop w:val="0"/>
      <w:marBottom w:val="0"/>
      <w:divBdr>
        <w:top w:val="none" w:sz="0" w:space="0" w:color="auto"/>
        <w:left w:val="none" w:sz="0" w:space="0" w:color="auto"/>
        <w:bottom w:val="none" w:sz="0" w:space="0" w:color="auto"/>
        <w:right w:val="none" w:sz="0" w:space="0" w:color="auto"/>
      </w:divBdr>
    </w:div>
    <w:div w:id="1974435311">
      <w:bodyDiv w:val="1"/>
      <w:marLeft w:val="0"/>
      <w:marRight w:val="0"/>
      <w:marTop w:val="0"/>
      <w:marBottom w:val="0"/>
      <w:divBdr>
        <w:top w:val="none" w:sz="0" w:space="0" w:color="auto"/>
        <w:left w:val="none" w:sz="0" w:space="0" w:color="auto"/>
        <w:bottom w:val="none" w:sz="0" w:space="0" w:color="auto"/>
        <w:right w:val="none" w:sz="0" w:space="0" w:color="auto"/>
      </w:divBdr>
    </w:div>
    <w:div w:id="205083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Voges\Desktop\wxxxx.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Leo</b:Tag>
    <b:SourceType>Book</b:SourceType>
    <b:Guid>{9AF41328-4485-4D8B-9442-89705A846915}</b:Guid>
    <b:Author>
      <b:Author>
        <b:NameList>
          <b:Person>
            <b:Last>Editor</b:Last>
            <b:First>Leonardo</b:First>
            <b:Middle>Chiariglione</b:Middle>
          </b:Person>
        </b:NameList>
      </b:Author>
    </b:Author>
    <b:Title>The MPEG Representation of Digital Media</b:Title>
    <b:City>http://www.springer.com/gp/book/9781441961839</b:City>
    <b:Publisher>Elsevier </b:Publisher>
    <b:RefOrder>1</b:RefOrder>
  </b:Source>
</b:Sources>
</file>

<file path=customXml/itemProps1.xml><?xml version="1.0" encoding="utf-8"?>
<ds:datastoreItem xmlns:ds="http://schemas.openxmlformats.org/officeDocument/2006/customXml" ds:itemID="{E1261B86-13DE-44F5-ABE0-DC430186A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wxxxx</Template>
  <TotalTime>17</TotalTime>
  <Pages>10</Pages>
  <Words>5526</Words>
  <Characters>31725</Characters>
  <Application>Microsoft Office Word</Application>
  <DocSecurity>0</DocSecurity>
  <Lines>546</Lines>
  <Paragraphs>250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INTERNATIONAL ORGANISATION FOR STANDARDISATION</vt:lpstr>
      <vt:lpstr>INTERNATIONAL ORGANISATION FOR STANDARDISATION</vt:lpstr>
    </vt:vector>
  </TitlesOfParts>
  <Company>ITSCJ</Company>
  <LinksUpToDate>false</LinksUpToDate>
  <CharactersWithSpaces>37001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ORGANISATION FOR STANDARDISATION</dc:title>
  <dc:creator>Jan Voges</dc:creator>
  <cp:lastModifiedBy>Mattavelli Marco</cp:lastModifiedBy>
  <cp:revision>3</cp:revision>
  <cp:lastPrinted>2018-02-05T15:51:00Z</cp:lastPrinted>
  <dcterms:created xsi:type="dcterms:W3CDTF">2018-02-08T11:07:00Z</dcterms:created>
  <dcterms:modified xsi:type="dcterms:W3CDTF">2018-02-08T11:24:00Z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http://www.zotero.org/styles/engineering-in-life-sciences</vt:lpwstr>
  </property>
  <property fmtid="{D5CDD505-2E9C-101B-9397-08002B2CF9AE}" pid="11" name="Mendeley Recent Style Name 4_1">
    <vt:lpwstr>Engineering in Life Sciences</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http://www.zotero.org/styles/ieee-access</vt:lpwstr>
  </property>
  <property fmtid="{D5CDD505-2E9C-101B-9397-08002B2CF9AE}" pid="17" name="Mendeley Recent Style Name 7_1">
    <vt:lpwstr>IEEE Access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9224902f-9f60-3d38-a2f2-a80b7a66cfb3</vt:lpwstr>
  </property>
  <property fmtid="{D5CDD505-2E9C-101B-9397-08002B2CF9AE}" pid="24" name="Mendeley Citation Style_1">
    <vt:lpwstr>http://www.zotero.org/styles/ieee</vt:lpwstr>
  </property>
</Properties>
</file>